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C2" w:rsidRPr="00F00E04" w:rsidRDefault="006A2EC2" w:rsidP="007F504A">
      <w:pPr>
        <w:spacing w:after="0" w:line="240" w:lineRule="auto"/>
        <w:jc w:val="both"/>
        <w:rPr>
          <w:rFonts w:ascii="gobCL" w:hAnsi="gobCL"/>
          <w:lang w:eastAsia="es-CL"/>
        </w:rPr>
      </w:pPr>
    </w:p>
    <w:p w:rsidR="00A31B8D" w:rsidRPr="00F00E04" w:rsidRDefault="00A31B8D" w:rsidP="008A5A34">
      <w:pPr>
        <w:spacing w:after="0" w:line="240" w:lineRule="auto"/>
        <w:ind w:left="709"/>
        <w:jc w:val="both"/>
        <w:rPr>
          <w:rFonts w:ascii="gobCL" w:hAnsi="gobCL"/>
          <w:b/>
          <w:color w:val="1F497D" w:themeColor="text2"/>
          <w:lang w:eastAsia="es-CL"/>
        </w:rPr>
      </w:pPr>
      <w:r w:rsidRPr="00F00E04">
        <w:rPr>
          <w:rFonts w:ascii="gobCL" w:hAnsi="gobCL"/>
          <w:b/>
          <w:color w:val="1F497D" w:themeColor="text2"/>
          <w:lang w:eastAsia="es-CL"/>
        </w:rPr>
        <w:t xml:space="preserve">Aclaraciones a las bases dirigidas al correo electrónico </w:t>
      </w:r>
      <w:hyperlink r:id="rId8" w:history="1">
        <w:r w:rsidRPr="00F00E04">
          <w:rPr>
            <w:rStyle w:val="Hipervnculo"/>
            <w:rFonts w:ascii="gobCL" w:hAnsi="gobCL"/>
            <w:b/>
            <w:color w:val="1F497D" w:themeColor="text2"/>
            <w:lang w:eastAsia="es-CL"/>
          </w:rPr>
          <w:t>subastapublica@subpesca.cl</w:t>
        </w:r>
      </w:hyperlink>
      <w:r w:rsidRPr="00F00E04">
        <w:rPr>
          <w:rFonts w:ascii="gobCL" w:hAnsi="gobCL"/>
          <w:b/>
          <w:color w:val="1F497D" w:themeColor="text2"/>
          <w:lang w:eastAsia="es-CL"/>
        </w:rPr>
        <w:t>, según el orden de llegada y dentro del plazo de 72 horas.</w:t>
      </w:r>
    </w:p>
    <w:p w:rsidR="00A31B8D" w:rsidRPr="00F00E04" w:rsidRDefault="00A31B8D" w:rsidP="008A5A34">
      <w:pPr>
        <w:spacing w:after="0" w:line="240" w:lineRule="auto"/>
        <w:ind w:left="709"/>
        <w:jc w:val="both"/>
        <w:rPr>
          <w:rFonts w:ascii="gobCL" w:hAnsi="gobCL"/>
          <w:b/>
          <w:color w:val="1F497D" w:themeColor="text2"/>
          <w:lang w:eastAsia="es-CL"/>
        </w:rPr>
      </w:pPr>
    </w:p>
    <w:p w:rsidR="00F00E04" w:rsidRPr="00F00E04" w:rsidRDefault="00A31B8D" w:rsidP="00F00E04">
      <w:pPr>
        <w:spacing w:after="0" w:line="240" w:lineRule="auto"/>
        <w:ind w:left="709"/>
        <w:jc w:val="both"/>
        <w:rPr>
          <w:rFonts w:ascii="gobCL" w:hAnsi="gobCL"/>
          <w:b/>
          <w:color w:val="1F497D" w:themeColor="text2"/>
          <w:u w:val="single"/>
          <w:lang w:eastAsia="es-CL"/>
        </w:rPr>
      </w:pPr>
      <w:r w:rsidRPr="00F00E04">
        <w:rPr>
          <w:rFonts w:ascii="gobCL" w:hAnsi="gobCL"/>
          <w:b/>
          <w:color w:val="1F497D" w:themeColor="text2"/>
          <w:u w:val="single"/>
          <w:lang w:eastAsia="es-CL"/>
        </w:rPr>
        <w:t>Aclaraciones subasta de Reasignación Bacalao de profundidad:</w:t>
      </w:r>
    </w:p>
    <w:p w:rsidR="00F00E04" w:rsidRPr="00F00E04" w:rsidRDefault="00F00E04" w:rsidP="00F00E04">
      <w:pPr>
        <w:spacing w:after="0" w:line="240" w:lineRule="auto"/>
        <w:ind w:left="709"/>
        <w:jc w:val="both"/>
        <w:rPr>
          <w:rFonts w:ascii="gobCL" w:hAnsi="gobCL"/>
          <w:b/>
          <w:color w:val="1F497D" w:themeColor="text2"/>
          <w:u w:val="single"/>
          <w:lang w:eastAsia="es-CL"/>
        </w:rPr>
      </w:pPr>
    </w:p>
    <w:p w:rsidR="00A31B8D" w:rsidRPr="00F00E04" w:rsidRDefault="00F00E04" w:rsidP="00F00E04">
      <w:pPr>
        <w:spacing w:after="0" w:line="240" w:lineRule="auto"/>
        <w:ind w:left="709"/>
        <w:jc w:val="both"/>
        <w:rPr>
          <w:rFonts w:ascii="gobCL" w:hAnsi="gobCL"/>
          <w:b/>
          <w:color w:val="1F497D" w:themeColor="text2"/>
          <w:u w:val="single"/>
          <w:lang w:eastAsia="es-CL"/>
        </w:rPr>
      </w:pPr>
      <w:r w:rsidRPr="00F00E04">
        <w:rPr>
          <w:rFonts w:ascii="gobCL" w:hAnsi="gobCL"/>
          <w:color w:val="000000" w:themeColor="text1"/>
          <w:lang w:eastAsia="es-CL"/>
        </w:rPr>
        <w:t>1.-</w:t>
      </w:r>
      <w:r w:rsidRPr="00F00E04">
        <w:rPr>
          <w:rFonts w:ascii="gobCL" w:hAnsi="gobCL"/>
          <w:b/>
          <w:color w:val="000000" w:themeColor="text1"/>
          <w:u w:val="single"/>
          <w:lang w:eastAsia="es-CL"/>
        </w:rPr>
        <w:t xml:space="preserve"> </w:t>
      </w:r>
      <w:r w:rsidR="00A31B8D" w:rsidRPr="00F00E04">
        <w:rPr>
          <w:rFonts w:ascii="gobCL" w:hAnsi="gobCL"/>
        </w:rPr>
        <w:t xml:space="preserve">Solicito me indiquen Rut de subsecretaria para incluir en vale vista. </w:t>
      </w:r>
    </w:p>
    <w:p w:rsidR="00A31B8D" w:rsidRPr="00F00E04" w:rsidRDefault="00A31B8D" w:rsidP="008A5A34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gobCL" w:hAnsi="gobCL" w:cs="Times New Roman"/>
          <w:b/>
          <w:color w:val="1F497D" w:themeColor="text2"/>
          <w:lang w:eastAsia="es-CL"/>
        </w:rPr>
      </w:pPr>
      <w:r w:rsidRPr="00F00E04">
        <w:rPr>
          <w:rFonts w:ascii="gobCL" w:hAnsi="gobCL" w:cs="Times New Roman"/>
          <w:b/>
          <w:color w:val="1F497D" w:themeColor="text2"/>
          <w:lang w:eastAsia="es-CL"/>
        </w:rPr>
        <w:t>RUT. 60.719.000-3</w:t>
      </w:r>
    </w:p>
    <w:p w:rsidR="00A31B8D" w:rsidRPr="00F00E04" w:rsidRDefault="00A31B8D" w:rsidP="008A5A34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gobCL" w:hAnsi="gobCL" w:cs="Times New Roman"/>
          <w:b/>
          <w:color w:val="1F497D" w:themeColor="text2"/>
          <w:lang w:eastAsia="es-CL"/>
        </w:rPr>
      </w:pPr>
      <w:r w:rsidRPr="00F00E04">
        <w:rPr>
          <w:rFonts w:ascii="gobCL" w:hAnsi="gobCL" w:cs="Times New Roman"/>
          <w:b/>
          <w:color w:val="1F497D" w:themeColor="text2"/>
          <w:lang w:eastAsia="es-CL"/>
        </w:rPr>
        <w:t>Subsecretaría de Pesca y Acuicultura</w:t>
      </w:r>
    </w:p>
    <w:p w:rsidR="00F00E04" w:rsidRPr="00F00E04" w:rsidRDefault="00A31B8D" w:rsidP="00F00E04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gobCL" w:hAnsi="gobCL" w:cs="Times New Roman"/>
          <w:b/>
          <w:color w:val="1F497D" w:themeColor="text2"/>
          <w:lang w:eastAsia="es-CL"/>
        </w:rPr>
      </w:pPr>
      <w:r w:rsidRPr="00F00E04">
        <w:rPr>
          <w:rFonts w:ascii="gobCL" w:hAnsi="gobCL" w:cs="Times New Roman"/>
          <w:b/>
          <w:color w:val="1F497D" w:themeColor="text2"/>
          <w:lang w:eastAsia="es-CL"/>
        </w:rPr>
        <w:t>Bellavista 168, Piso 16. Valparaíso</w:t>
      </w:r>
    </w:p>
    <w:p w:rsidR="008A5A34" w:rsidRPr="00F00E04" w:rsidRDefault="00F00E04" w:rsidP="00F00E04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gobCL" w:hAnsi="gobCL" w:cs="Times New Roman"/>
          <w:b/>
          <w:color w:val="1F497D" w:themeColor="text2"/>
          <w:lang w:eastAsia="es-CL"/>
        </w:rPr>
      </w:pPr>
      <w:r w:rsidRPr="00F00E04">
        <w:rPr>
          <w:rFonts w:ascii="gobCL" w:hAnsi="gobCL" w:cs="Times New Roman"/>
          <w:color w:val="000000" w:themeColor="text1"/>
          <w:lang w:eastAsia="es-CL"/>
        </w:rPr>
        <w:t>2.-</w:t>
      </w:r>
      <w:r w:rsidRPr="00F00E04">
        <w:rPr>
          <w:rFonts w:ascii="gobCL" w:hAnsi="gobCL" w:cs="Times New Roman"/>
          <w:b/>
          <w:color w:val="000000" w:themeColor="text1"/>
          <w:lang w:eastAsia="es-CL"/>
        </w:rPr>
        <w:t xml:space="preserve"> </w:t>
      </w:r>
      <w:r w:rsidR="00A31B8D" w:rsidRPr="00F00E04">
        <w:rPr>
          <w:rFonts w:ascii="gobCL" w:hAnsi="gobCL"/>
        </w:rPr>
        <w:t>Necesito se me responda lo siguiente por subasta de reasignación de permisos extraordinarios de pesca, fracción artesanal, área licit</w:t>
      </w:r>
      <w:r w:rsidR="008A5A34" w:rsidRPr="00F00E04">
        <w:rPr>
          <w:rFonts w:ascii="gobCL" w:hAnsi="gobCL"/>
        </w:rPr>
        <w:t xml:space="preserve">ada al sur del paralelo 47 LS. </w:t>
      </w:r>
    </w:p>
    <w:p w:rsidR="00A31B8D" w:rsidRPr="00F00E04" w:rsidRDefault="00F00E04" w:rsidP="008A5A34">
      <w:pPr>
        <w:pStyle w:val="NormalWeb"/>
        <w:ind w:left="709"/>
        <w:rPr>
          <w:rFonts w:ascii="gobCL" w:hAnsi="gobCL"/>
          <w:color w:val="000000"/>
          <w:sz w:val="22"/>
          <w:szCs w:val="22"/>
        </w:rPr>
      </w:pPr>
      <w:r>
        <w:rPr>
          <w:rFonts w:ascii="gobCL" w:hAnsi="gobCL"/>
          <w:color w:val="000000"/>
          <w:sz w:val="22"/>
          <w:szCs w:val="22"/>
        </w:rPr>
        <w:t xml:space="preserve">a. </w:t>
      </w:r>
      <w:r w:rsidR="00A31B8D" w:rsidRPr="00F00E04">
        <w:rPr>
          <w:rFonts w:ascii="gobCL" w:hAnsi="gobCL"/>
          <w:color w:val="000000"/>
          <w:sz w:val="22"/>
          <w:szCs w:val="22"/>
        </w:rPr>
        <w:t xml:space="preserve"> Entre los antecedentes del sobre 1, es obligatorio presentar certificado de matrícula o navegabilidad de la embarcación o basta con acompañar certificado de RPA del oferente y la lancha.</w:t>
      </w:r>
    </w:p>
    <w:p w:rsidR="00A31B8D" w:rsidRPr="00F00E04" w:rsidRDefault="00A31B8D" w:rsidP="008A5A34">
      <w:pPr>
        <w:pStyle w:val="NormalWeb"/>
        <w:ind w:left="709"/>
        <w:rPr>
          <w:rFonts w:ascii="gobCL" w:hAnsi="gobCL"/>
          <w:color w:val="000000"/>
          <w:sz w:val="22"/>
          <w:szCs w:val="22"/>
        </w:rPr>
      </w:pPr>
    </w:p>
    <w:p w:rsidR="003558BD" w:rsidRDefault="00D40F74" w:rsidP="008A5A34">
      <w:pPr>
        <w:pStyle w:val="NormalWeb"/>
        <w:ind w:left="709"/>
        <w:jc w:val="both"/>
        <w:rPr>
          <w:rFonts w:ascii="gobCL" w:hAnsi="gobCL"/>
          <w:b/>
          <w:color w:val="1F497D" w:themeColor="text2"/>
          <w:sz w:val="22"/>
          <w:szCs w:val="22"/>
        </w:rPr>
      </w:pPr>
      <w:r>
        <w:rPr>
          <w:rFonts w:ascii="gobCL" w:hAnsi="gobCL"/>
          <w:b/>
          <w:color w:val="1F497D" w:themeColor="text2"/>
          <w:sz w:val="22"/>
          <w:szCs w:val="22"/>
        </w:rPr>
        <w:t xml:space="preserve">No es obligatorio acompañar el </w:t>
      </w:r>
      <w:r w:rsidR="00A31B8D" w:rsidRPr="00F00E04">
        <w:rPr>
          <w:rFonts w:ascii="gobCL" w:hAnsi="gobCL"/>
          <w:b/>
          <w:color w:val="1F497D" w:themeColor="text2"/>
          <w:sz w:val="22"/>
          <w:szCs w:val="22"/>
        </w:rPr>
        <w:t xml:space="preserve">certificado de matrícula </w:t>
      </w:r>
      <w:r w:rsidR="002F613B">
        <w:rPr>
          <w:rFonts w:ascii="gobCL" w:hAnsi="gobCL"/>
          <w:b/>
          <w:color w:val="1F497D" w:themeColor="text2"/>
          <w:sz w:val="22"/>
          <w:szCs w:val="22"/>
        </w:rPr>
        <w:t xml:space="preserve">y el certificado de navegabilidad </w:t>
      </w:r>
      <w:r w:rsidR="00A31B8D" w:rsidRPr="00F00E04">
        <w:rPr>
          <w:rFonts w:ascii="gobCL" w:hAnsi="gobCL"/>
          <w:b/>
          <w:color w:val="1F497D" w:themeColor="text2"/>
          <w:sz w:val="22"/>
          <w:szCs w:val="22"/>
        </w:rPr>
        <w:t>de la embarcación</w:t>
      </w:r>
      <w:r w:rsidR="003558BD">
        <w:rPr>
          <w:rFonts w:ascii="gobCL" w:hAnsi="gobCL"/>
          <w:b/>
          <w:color w:val="1F497D" w:themeColor="text2"/>
          <w:sz w:val="22"/>
          <w:szCs w:val="22"/>
        </w:rPr>
        <w:t xml:space="preserve">. </w:t>
      </w:r>
    </w:p>
    <w:p w:rsidR="003558BD" w:rsidRDefault="003558BD" w:rsidP="008A5A34">
      <w:pPr>
        <w:pStyle w:val="NormalWeb"/>
        <w:ind w:left="709"/>
        <w:jc w:val="both"/>
        <w:rPr>
          <w:rFonts w:ascii="gobCL" w:hAnsi="gobCL"/>
          <w:b/>
          <w:color w:val="1F497D" w:themeColor="text2"/>
          <w:sz w:val="22"/>
          <w:szCs w:val="22"/>
        </w:rPr>
      </w:pPr>
    </w:p>
    <w:p w:rsidR="003558BD" w:rsidRPr="00F00E04" w:rsidRDefault="003558BD" w:rsidP="003558BD">
      <w:pPr>
        <w:pStyle w:val="NormalWeb"/>
        <w:ind w:left="709"/>
        <w:jc w:val="both"/>
        <w:rPr>
          <w:rFonts w:ascii="gobCL" w:hAnsi="gobCL"/>
          <w:b/>
          <w:color w:val="1F497D" w:themeColor="text2"/>
          <w:sz w:val="22"/>
          <w:szCs w:val="22"/>
        </w:rPr>
      </w:pPr>
      <w:r>
        <w:rPr>
          <w:rFonts w:ascii="gobCL" w:hAnsi="gobCL"/>
          <w:b/>
          <w:color w:val="1F497D" w:themeColor="text2"/>
          <w:sz w:val="22"/>
          <w:szCs w:val="22"/>
        </w:rPr>
        <w:t>Lo que e</w:t>
      </w:r>
      <w:r w:rsidR="00A31B8D" w:rsidRPr="00F00E04">
        <w:rPr>
          <w:rFonts w:ascii="gobCL" w:hAnsi="gobCL"/>
          <w:b/>
          <w:color w:val="1F497D" w:themeColor="text2"/>
          <w:sz w:val="22"/>
          <w:szCs w:val="22"/>
        </w:rPr>
        <w:t xml:space="preserve">s obligatorio </w:t>
      </w:r>
      <w:r w:rsidR="00D57FF2">
        <w:rPr>
          <w:rFonts w:ascii="gobCL" w:hAnsi="gobCL"/>
          <w:b/>
          <w:color w:val="1F497D" w:themeColor="text2"/>
          <w:sz w:val="22"/>
          <w:szCs w:val="22"/>
        </w:rPr>
        <w:t xml:space="preserve">es </w:t>
      </w:r>
      <w:r w:rsidR="00A31B8D" w:rsidRPr="00F00E04">
        <w:rPr>
          <w:rFonts w:ascii="gobCL" w:hAnsi="gobCL"/>
          <w:b/>
          <w:color w:val="1F497D" w:themeColor="text2"/>
          <w:sz w:val="22"/>
          <w:szCs w:val="22"/>
        </w:rPr>
        <w:t xml:space="preserve">que el oferente acredite ser pescador artesanal inscrito en el Registro Artesanal de XI Región, de la XII Región  o un armador artesanal inscrito en el Registro Artesanal de </w:t>
      </w:r>
      <w:r w:rsidR="00A31B8D" w:rsidRPr="00F00E04">
        <w:rPr>
          <w:rFonts w:ascii="gobCL" w:hAnsi="gobCL"/>
          <w:b/>
          <w:color w:val="1F497D" w:themeColor="text2"/>
          <w:sz w:val="22"/>
          <w:szCs w:val="22"/>
          <w:u w:val="single"/>
        </w:rPr>
        <w:t xml:space="preserve">Bacalao de profundidad, </w:t>
      </w:r>
      <w:r w:rsidR="00A31B8D" w:rsidRPr="00F00E04">
        <w:rPr>
          <w:rFonts w:ascii="gobCL" w:hAnsi="gobCL"/>
          <w:b/>
          <w:color w:val="1F497D" w:themeColor="text2"/>
          <w:sz w:val="22"/>
          <w:szCs w:val="22"/>
        </w:rPr>
        <w:t>para ello el  Registro Pesquero Artesanal emite certificados que d</w:t>
      </w:r>
      <w:r>
        <w:rPr>
          <w:rFonts w:ascii="gobCL" w:hAnsi="gobCL"/>
          <w:b/>
          <w:color w:val="1F497D" w:themeColor="text2"/>
          <w:sz w:val="22"/>
          <w:szCs w:val="22"/>
        </w:rPr>
        <w:t xml:space="preserve">an cuenta </w:t>
      </w:r>
      <w:r w:rsidR="003374AB">
        <w:rPr>
          <w:rFonts w:ascii="gobCL" w:hAnsi="gobCL"/>
          <w:b/>
          <w:color w:val="1F497D" w:themeColor="text2"/>
          <w:sz w:val="22"/>
          <w:szCs w:val="22"/>
        </w:rPr>
        <w:t>de dicha información, para dar cumplimiento</w:t>
      </w:r>
      <w:r>
        <w:rPr>
          <w:rFonts w:ascii="gobCL" w:hAnsi="gobCL"/>
          <w:b/>
          <w:color w:val="1F497D" w:themeColor="text2"/>
          <w:sz w:val="22"/>
          <w:szCs w:val="22"/>
        </w:rPr>
        <w:t xml:space="preserve"> </w:t>
      </w:r>
      <w:r w:rsidRPr="00F00E04">
        <w:rPr>
          <w:rFonts w:ascii="gobCL" w:hAnsi="gobCL"/>
          <w:b/>
          <w:color w:val="1F497D" w:themeColor="text2"/>
          <w:sz w:val="22"/>
          <w:szCs w:val="22"/>
        </w:rPr>
        <w:t>a lo establecido en el artículo 18 letra D, del Reglamento de Permisos Extraordinario</w:t>
      </w:r>
      <w:r w:rsidR="00D40F74">
        <w:rPr>
          <w:rFonts w:ascii="gobCL" w:hAnsi="gobCL"/>
          <w:b/>
          <w:color w:val="1F497D" w:themeColor="text2"/>
          <w:sz w:val="22"/>
          <w:szCs w:val="22"/>
        </w:rPr>
        <w:t xml:space="preserve">s de Pesca, en la forma y con la vigencia señalada en las bases de la subasta. </w:t>
      </w:r>
    </w:p>
    <w:p w:rsidR="00A31B8D" w:rsidRPr="00F00E04" w:rsidRDefault="00A31B8D" w:rsidP="00A31B8D">
      <w:pPr>
        <w:pStyle w:val="NormalWeb"/>
        <w:rPr>
          <w:rFonts w:ascii="gobCL" w:hAnsi="gobCL"/>
          <w:color w:val="000000"/>
          <w:sz w:val="22"/>
          <w:szCs w:val="22"/>
        </w:rPr>
      </w:pPr>
    </w:p>
    <w:p w:rsidR="00A31B8D" w:rsidRPr="00F00E04" w:rsidRDefault="00F00E04" w:rsidP="008A5A34">
      <w:pPr>
        <w:pStyle w:val="NormalWeb"/>
        <w:ind w:left="709"/>
        <w:rPr>
          <w:rFonts w:ascii="gobCL" w:hAnsi="gobCL"/>
          <w:color w:val="000000"/>
          <w:sz w:val="22"/>
          <w:szCs w:val="22"/>
        </w:rPr>
      </w:pPr>
      <w:r>
        <w:rPr>
          <w:rFonts w:ascii="gobCL" w:hAnsi="gobCL"/>
          <w:color w:val="000000"/>
          <w:sz w:val="22"/>
          <w:szCs w:val="22"/>
        </w:rPr>
        <w:t xml:space="preserve">b. </w:t>
      </w:r>
      <w:r w:rsidR="00A31B8D" w:rsidRPr="00F00E04">
        <w:rPr>
          <w:rFonts w:ascii="gobCL" w:hAnsi="gobCL"/>
          <w:color w:val="000000"/>
          <w:sz w:val="22"/>
          <w:szCs w:val="22"/>
        </w:rPr>
        <w:t>Se puede presentar un solo vale vista de garantía de seriedad de la oferta, por el valor de un lote y postular a los 7 de la subasta, o debe presentar un vale vista por cada lote a postular.</w:t>
      </w:r>
    </w:p>
    <w:p w:rsidR="00A31B8D" w:rsidRPr="00F00E04" w:rsidRDefault="00A31B8D" w:rsidP="008A5A34">
      <w:pPr>
        <w:pStyle w:val="NormalWeb"/>
        <w:ind w:left="709"/>
        <w:rPr>
          <w:rFonts w:ascii="gobCL" w:hAnsi="gobCL"/>
          <w:color w:val="000000"/>
          <w:sz w:val="22"/>
          <w:szCs w:val="22"/>
        </w:rPr>
      </w:pPr>
    </w:p>
    <w:p w:rsidR="00526E9F" w:rsidRDefault="002F613B" w:rsidP="008A5A34">
      <w:pPr>
        <w:spacing w:after="0" w:line="240" w:lineRule="auto"/>
        <w:ind w:left="709"/>
        <w:jc w:val="both"/>
        <w:rPr>
          <w:rFonts w:ascii="gobCL" w:hAnsi="gobCL"/>
          <w:b/>
          <w:color w:val="1F497D" w:themeColor="text2"/>
        </w:rPr>
      </w:pPr>
      <w:r>
        <w:rPr>
          <w:rFonts w:ascii="gobCL" w:hAnsi="gobCL" w:cs="Arial"/>
          <w:b/>
          <w:color w:val="1F497D" w:themeColor="text2"/>
          <w:lang w:eastAsia="es-CL"/>
        </w:rPr>
        <w:t>S</w:t>
      </w:r>
      <w:r w:rsidR="003558BD">
        <w:rPr>
          <w:rFonts w:ascii="gobCL" w:hAnsi="gobCL" w:cs="Arial"/>
          <w:b/>
          <w:color w:val="1F497D" w:themeColor="text2"/>
          <w:lang w:eastAsia="es-CL"/>
        </w:rPr>
        <w:t>í</w:t>
      </w:r>
      <w:r w:rsidR="00D40F74">
        <w:rPr>
          <w:rFonts w:ascii="gobCL" w:hAnsi="gobCL" w:cs="Arial"/>
          <w:b/>
          <w:color w:val="1F497D" w:themeColor="text2"/>
          <w:lang w:eastAsia="es-CL"/>
        </w:rPr>
        <w:t>. Se puede acompañar garantía por el total de las ofertas a efectuar</w:t>
      </w:r>
      <w:r w:rsidR="003558BD">
        <w:rPr>
          <w:rFonts w:ascii="gobCL" w:hAnsi="gobCL" w:cs="Arial"/>
          <w:b/>
          <w:color w:val="1F497D" w:themeColor="text2"/>
          <w:lang w:eastAsia="es-CL"/>
        </w:rPr>
        <w:t>. No obstante lo anterior</w:t>
      </w:r>
      <w:r w:rsidR="00A31B8D" w:rsidRPr="00F00E04">
        <w:rPr>
          <w:rFonts w:ascii="gobCL" w:hAnsi="gobCL" w:cs="Arial"/>
          <w:b/>
          <w:color w:val="1F497D" w:themeColor="text2"/>
          <w:lang w:eastAsia="es-CL"/>
        </w:rPr>
        <w:t xml:space="preserve">, se aconseja </w:t>
      </w:r>
      <w:r w:rsidR="003558BD">
        <w:rPr>
          <w:rFonts w:ascii="gobCL" w:hAnsi="gobCL" w:cs="Arial"/>
          <w:b/>
          <w:color w:val="1F497D" w:themeColor="text2"/>
          <w:lang w:eastAsia="es-CL"/>
        </w:rPr>
        <w:t xml:space="preserve">presentar una garantía por lote, </w:t>
      </w:r>
      <w:r w:rsidR="00A31B8D" w:rsidRPr="00F00E04">
        <w:rPr>
          <w:rFonts w:ascii="gobCL" w:hAnsi="gobCL" w:cs="Times New Roman"/>
          <w:b/>
          <w:color w:val="1F497D" w:themeColor="text2"/>
          <w:lang w:eastAsia="es-CL"/>
        </w:rPr>
        <w:t xml:space="preserve">en razón a que </w:t>
      </w:r>
      <w:r w:rsidR="00A31B8D" w:rsidRPr="00F00E04">
        <w:rPr>
          <w:rFonts w:ascii="gobCL" w:hAnsi="gobCL"/>
          <w:b/>
          <w:color w:val="1F497D" w:themeColor="text2"/>
        </w:rPr>
        <w:t>si se adjudica un lote, la devolución de la garantía solo se hará efectiva con el respectivo comprobante de pago  y no se puede devolver una fracción de la misma.</w:t>
      </w:r>
    </w:p>
    <w:p w:rsidR="00D40F74" w:rsidRDefault="00D40F74" w:rsidP="008A5A34">
      <w:pPr>
        <w:spacing w:after="0" w:line="240" w:lineRule="auto"/>
        <w:ind w:left="709"/>
        <w:jc w:val="both"/>
        <w:rPr>
          <w:rFonts w:ascii="gobCL" w:hAnsi="gobCL" w:cs="Arial"/>
          <w:b/>
          <w:color w:val="1F497D" w:themeColor="text2"/>
          <w:lang w:eastAsia="es-CL"/>
        </w:rPr>
      </w:pPr>
    </w:p>
    <w:p w:rsidR="00D40F74" w:rsidRDefault="00D40F74" w:rsidP="008A5A34">
      <w:pPr>
        <w:spacing w:after="0" w:line="240" w:lineRule="auto"/>
        <w:ind w:left="709"/>
        <w:jc w:val="both"/>
        <w:rPr>
          <w:rFonts w:ascii="gobCL" w:hAnsi="gobCL" w:cs="Arial"/>
          <w:b/>
          <w:color w:val="1F497D" w:themeColor="text2"/>
          <w:lang w:eastAsia="es-CL"/>
        </w:rPr>
      </w:pPr>
    </w:p>
    <w:p w:rsidR="00D40F74" w:rsidRDefault="00D40F74" w:rsidP="008A5A34">
      <w:pPr>
        <w:spacing w:after="0" w:line="240" w:lineRule="auto"/>
        <w:ind w:left="709"/>
        <w:jc w:val="both"/>
        <w:rPr>
          <w:rFonts w:ascii="gobCL" w:hAnsi="gobCL" w:cs="Arial"/>
          <w:b/>
          <w:color w:val="1F497D" w:themeColor="text2"/>
          <w:lang w:eastAsia="es-CL"/>
        </w:rPr>
      </w:pPr>
    </w:p>
    <w:p w:rsidR="00526E9F" w:rsidRDefault="00526E9F" w:rsidP="008A5A34">
      <w:pPr>
        <w:spacing w:after="0" w:line="240" w:lineRule="auto"/>
        <w:ind w:left="709"/>
        <w:jc w:val="both"/>
        <w:rPr>
          <w:rFonts w:ascii="gobCL" w:hAnsi="gobCL"/>
          <w:b/>
          <w:color w:val="1F497D" w:themeColor="text2"/>
        </w:rPr>
      </w:pPr>
      <w:bookmarkStart w:id="0" w:name="_GoBack"/>
      <w:bookmarkEnd w:id="0"/>
    </w:p>
    <w:p w:rsidR="00A62A13" w:rsidRPr="00F00E04" w:rsidRDefault="00C81097" w:rsidP="007F504A">
      <w:pPr>
        <w:jc w:val="both"/>
        <w:rPr>
          <w:rFonts w:ascii="gobCL" w:hAnsi="gobCL"/>
        </w:rPr>
      </w:pPr>
    </w:p>
    <w:sectPr w:rsidR="00A62A13" w:rsidRPr="00F00E04" w:rsidSect="00176FAB">
      <w:headerReference w:type="default" r:id="rId9"/>
      <w:footerReference w:type="default" r:id="rId10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97" w:rsidRDefault="00C81097">
      <w:pPr>
        <w:spacing w:after="0" w:line="240" w:lineRule="auto"/>
      </w:pPr>
      <w:r>
        <w:separator/>
      </w:r>
    </w:p>
  </w:endnote>
  <w:endnote w:type="continuationSeparator" w:id="0">
    <w:p w:rsidR="00C81097" w:rsidRDefault="00C8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877090"/>
      <w:docPartObj>
        <w:docPartGallery w:val="Page Numbers (Bottom of Page)"/>
        <w:docPartUnique/>
      </w:docPartObj>
    </w:sdtPr>
    <w:sdtEndPr/>
    <w:sdtContent>
      <w:p w:rsidR="00385F45" w:rsidRDefault="00443FC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414" w:rsidRPr="00403414">
          <w:rPr>
            <w:noProof/>
            <w:lang w:val="es-ES"/>
          </w:rPr>
          <w:t>1</w:t>
        </w:r>
        <w:r>
          <w:fldChar w:fldCharType="end"/>
        </w:r>
      </w:p>
    </w:sdtContent>
  </w:sdt>
  <w:p w:rsidR="00385F45" w:rsidRDefault="00C810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97" w:rsidRDefault="00C81097">
      <w:pPr>
        <w:spacing w:after="0" w:line="240" w:lineRule="auto"/>
      </w:pPr>
      <w:r>
        <w:separator/>
      </w:r>
    </w:p>
  </w:footnote>
  <w:footnote w:type="continuationSeparator" w:id="0">
    <w:p w:rsidR="00C81097" w:rsidRDefault="00C81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5C4" w:rsidRDefault="00443FC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15612FD" wp14:editId="7E2339BD">
          <wp:simplePos x="0" y="0"/>
          <wp:positionH relativeFrom="column">
            <wp:posOffset>-692785</wp:posOffset>
          </wp:positionH>
          <wp:positionV relativeFrom="paragraph">
            <wp:posOffset>-154305</wp:posOffset>
          </wp:positionV>
          <wp:extent cx="1654175" cy="1592580"/>
          <wp:effectExtent l="0" t="0" r="3175" b="762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159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AAB"/>
    <w:multiLevelType w:val="hybridMultilevel"/>
    <w:tmpl w:val="06B221C2"/>
    <w:lvl w:ilvl="0" w:tplc="9E22E8F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83131"/>
    <w:multiLevelType w:val="hybridMultilevel"/>
    <w:tmpl w:val="EFA659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37022"/>
    <w:multiLevelType w:val="hybridMultilevel"/>
    <w:tmpl w:val="3EA4AE34"/>
    <w:lvl w:ilvl="0" w:tplc="340A000F">
      <w:start w:val="1"/>
      <w:numFmt w:val="decimal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AD2C51"/>
    <w:multiLevelType w:val="hybridMultilevel"/>
    <w:tmpl w:val="99D29E10"/>
    <w:lvl w:ilvl="0" w:tplc="59F0D722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D1441"/>
    <w:multiLevelType w:val="hybridMultilevel"/>
    <w:tmpl w:val="4A24B008"/>
    <w:lvl w:ilvl="0" w:tplc="340A000F">
      <w:start w:val="1"/>
      <w:numFmt w:val="decimal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0629A9"/>
    <w:multiLevelType w:val="hybridMultilevel"/>
    <w:tmpl w:val="849E161A"/>
    <w:lvl w:ilvl="0" w:tplc="6D525E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3B5B27"/>
    <w:multiLevelType w:val="hybridMultilevel"/>
    <w:tmpl w:val="DC6E1A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440DD"/>
    <w:multiLevelType w:val="hybridMultilevel"/>
    <w:tmpl w:val="6792B260"/>
    <w:lvl w:ilvl="0" w:tplc="CAB87D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FE16F2"/>
    <w:multiLevelType w:val="hybridMultilevel"/>
    <w:tmpl w:val="E238146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C2AD8"/>
    <w:multiLevelType w:val="hybridMultilevel"/>
    <w:tmpl w:val="CCDEDD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B2712"/>
    <w:multiLevelType w:val="hybridMultilevel"/>
    <w:tmpl w:val="D0ACCE9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32192"/>
    <w:multiLevelType w:val="hybridMultilevel"/>
    <w:tmpl w:val="050CF7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C2"/>
    <w:rsid w:val="00050E76"/>
    <w:rsid w:val="00072F7C"/>
    <w:rsid w:val="001C637A"/>
    <w:rsid w:val="002F613B"/>
    <w:rsid w:val="00316B7B"/>
    <w:rsid w:val="003374AB"/>
    <w:rsid w:val="003558BD"/>
    <w:rsid w:val="00403414"/>
    <w:rsid w:val="00443FC2"/>
    <w:rsid w:val="004511CE"/>
    <w:rsid w:val="00482284"/>
    <w:rsid w:val="00526E9F"/>
    <w:rsid w:val="0053584B"/>
    <w:rsid w:val="00541D03"/>
    <w:rsid w:val="006A03D9"/>
    <w:rsid w:val="006A2EC2"/>
    <w:rsid w:val="0075730B"/>
    <w:rsid w:val="00783EC6"/>
    <w:rsid w:val="007D7DAF"/>
    <w:rsid w:val="007F504A"/>
    <w:rsid w:val="008040AF"/>
    <w:rsid w:val="008257C7"/>
    <w:rsid w:val="0086567F"/>
    <w:rsid w:val="00865AE9"/>
    <w:rsid w:val="0089461B"/>
    <w:rsid w:val="008A5A34"/>
    <w:rsid w:val="009A395A"/>
    <w:rsid w:val="009A6983"/>
    <w:rsid w:val="00A31B8D"/>
    <w:rsid w:val="00A4725E"/>
    <w:rsid w:val="00C14170"/>
    <w:rsid w:val="00C62983"/>
    <w:rsid w:val="00C81097"/>
    <w:rsid w:val="00D40F74"/>
    <w:rsid w:val="00D57FF2"/>
    <w:rsid w:val="00E76DE6"/>
    <w:rsid w:val="00F00E04"/>
    <w:rsid w:val="00F026BF"/>
    <w:rsid w:val="00F0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E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EC2"/>
  </w:style>
  <w:style w:type="paragraph" w:styleId="Piedepgina">
    <w:name w:val="footer"/>
    <w:basedOn w:val="Normal"/>
    <w:link w:val="PiedepginaCar"/>
    <w:uiPriority w:val="99"/>
    <w:unhideWhenUsed/>
    <w:rsid w:val="006A2E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EC2"/>
  </w:style>
  <w:style w:type="paragraph" w:styleId="Textosinformato">
    <w:name w:val="Plain Text"/>
    <w:basedOn w:val="Normal"/>
    <w:link w:val="TextosinformatoCar"/>
    <w:uiPriority w:val="99"/>
    <w:semiHidden/>
    <w:unhideWhenUsed/>
    <w:rsid w:val="006A2EC2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A2EC2"/>
    <w:rPr>
      <w:rFonts w:ascii="Calibri" w:hAnsi="Calibri"/>
      <w:szCs w:val="21"/>
    </w:rPr>
  </w:style>
  <w:style w:type="paragraph" w:styleId="Prrafodelista">
    <w:name w:val="List Paragraph"/>
    <w:basedOn w:val="Normal"/>
    <w:uiPriority w:val="34"/>
    <w:qFormat/>
    <w:rsid w:val="004822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1B8D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A31B8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E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EC2"/>
  </w:style>
  <w:style w:type="paragraph" w:styleId="Piedepgina">
    <w:name w:val="footer"/>
    <w:basedOn w:val="Normal"/>
    <w:link w:val="PiedepginaCar"/>
    <w:uiPriority w:val="99"/>
    <w:unhideWhenUsed/>
    <w:rsid w:val="006A2E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EC2"/>
  </w:style>
  <w:style w:type="paragraph" w:styleId="Textosinformato">
    <w:name w:val="Plain Text"/>
    <w:basedOn w:val="Normal"/>
    <w:link w:val="TextosinformatoCar"/>
    <w:uiPriority w:val="99"/>
    <w:semiHidden/>
    <w:unhideWhenUsed/>
    <w:rsid w:val="006A2EC2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A2EC2"/>
    <w:rPr>
      <w:rFonts w:ascii="Calibri" w:hAnsi="Calibri"/>
      <w:szCs w:val="21"/>
    </w:rPr>
  </w:style>
  <w:style w:type="paragraph" w:styleId="Prrafodelista">
    <w:name w:val="List Paragraph"/>
    <w:basedOn w:val="Normal"/>
    <w:uiPriority w:val="34"/>
    <w:qFormat/>
    <w:rsid w:val="004822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1B8D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A31B8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astapublica@subpesca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Ortiz</dc:creator>
  <cp:lastModifiedBy>Leonardo Rivas Sánchez</cp:lastModifiedBy>
  <cp:revision>2</cp:revision>
  <cp:lastPrinted>2017-11-30T20:53:00Z</cp:lastPrinted>
  <dcterms:created xsi:type="dcterms:W3CDTF">2017-12-01T13:35:00Z</dcterms:created>
  <dcterms:modified xsi:type="dcterms:W3CDTF">2017-12-01T13:35:00Z</dcterms:modified>
</cp:coreProperties>
</file>