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9F" w:rsidRDefault="00526E9F" w:rsidP="008A5A3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</w:rPr>
      </w:pPr>
    </w:p>
    <w:p w:rsidR="00D40F74" w:rsidRPr="00F00E04" w:rsidRDefault="00D40F74" w:rsidP="00D40F7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  <w:lang w:eastAsia="es-CL"/>
        </w:rPr>
      </w:pPr>
      <w:r w:rsidRPr="00F00E04">
        <w:rPr>
          <w:rFonts w:ascii="gobCL" w:hAnsi="gobCL"/>
          <w:b/>
          <w:color w:val="1F497D" w:themeColor="text2"/>
          <w:lang w:eastAsia="es-CL"/>
        </w:rPr>
        <w:t xml:space="preserve">Aclaraciones a las bases dirigidas al correo electrónico </w:t>
      </w:r>
      <w:hyperlink r:id="rId8" w:history="1">
        <w:r w:rsidRPr="00F00E04">
          <w:rPr>
            <w:rStyle w:val="Hipervnculo"/>
            <w:rFonts w:ascii="gobCL" w:hAnsi="gobCL"/>
            <w:b/>
            <w:color w:val="1F497D" w:themeColor="text2"/>
            <w:lang w:eastAsia="es-CL"/>
          </w:rPr>
          <w:t>subastapublica@subpesca.cl</w:t>
        </w:r>
      </w:hyperlink>
      <w:r w:rsidRPr="00F00E04">
        <w:rPr>
          <w:rFonts w:ascii="gobCL" w:hAnsi="gobCL"/>
          <w:b/>
          <w:color w:val="1F497D" w:themeColor="text2"/>
          <w:lang w:eastAsia="es-CL"/>
        </w:rPr>
        <w:t>, según el orden de llegada y dentro del plazo de 72 horas.</w:t>
      </w:r>
    </w:p>
    <w:p w:rsidR="00D40F74" w:rsidRPr="00F00E04" w:rsidRDefault="00D40F74" w:rsidP="00D40F7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  <w:lang w:eastAsia="es-CL"/>
        </w:rPr>
      </w:pPr>
    </w:p>
    <w:p w:rsidR="00E76DE6" w:rsidRPr="00F00E04" w:rsidRDefault="00E76DE6" w:rsidP="008A5A3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  <w:u w:val="single"/>
        </w:rPr>
      </w:pPr>
      <w:r w:rsidRPr="00F00E04">
        <w:rPr>
          <w:rFonts w:ascii="gobCL" w:hAnsi="gobCL"/>
          <w:b/>
          <w:color w:val="1F497D" w:themeColor="text2"/>
          <w:u w:val="single"/>
        </w:rPr>
        <w:t xml:space="preserve">Subasta de Permisos Extraordinarios de Pesca </w:t>
      </w:r>
      <w:r w:rsidR="00526E9F" w:rsidRPr="00F00E04">
        <w:rPr>
          <w:rFonts w:ascii="gobCL" w:hAnsi="gobCL"/>
          <w:b/>
          <w:color w:val="1F497D" w:themeColor="text2"/>
          <w:u w:val="single"/>
        </w:rPr>
        <w:t>Recurso Bacalao de profundidad, Langostino amarillo y Langostino colorado</w:t>
      </w:r>
      <w:r w:rsidR="008A5A34" w:rsidRPr="00F00E04">
        <w:rPr>
          <w:rFonts w:ascii="gobCL" w:hAnsi="gobCL"/>
          <w:b/>
          <w:color w:val="1F497D" w:themeColor="text2"/>
          <w:u w:val="single"/>
        </w:rPr>
        <w:t>:</w:t>
      </w:r>
    </w:p>
    <w:p w:rsidR="00E76DE6" w:rsidRPr="00F00E04" w:rsidRDefault="00E76DE6" w:rsidP="008A5A34">
      <w:pPr>
        <w:pStyle w:val="NormalWeb"/>
        <w:ind w:left="709" w:hanging="425"/>
        <w:rPr>
          <w:rFonts w:ascii="gobCL" w:hAnsi="gobCL"/>
          <w:color w:val="000000"/>
          <w:sz w:val="22"/>
          <w:szCs w:val="22"/>
          <w:u w:val="single"/>
        </w:rPr>
      </w:pPr>
    </w:p>
    <w:p w:rsidR="00A31B8D" w:rsidRPr="00F00E04" w:rsidRDefault="00F00E04" w:rsidP="00F00E04">
      <w:pPr>
        <w:pStyle w:val="Prrafodelista"/>
        <w:ind w:left="709"/>
        <w:jc w:val="both"/>
        <w:rPr>
          <w:rFonts w:ascii="gobCL" w:hAnsi="gobCL"/>
        </w:rPr>
      </w:pPr>
      <w:r>
        <w:rPr>
          <w:rFonts w:ascii="gobCL" w:hAnsi="gobCL"/>
        </w:rPr>
        <w:t>1</w:t>
      </w:r>
      <w:r w:rsidRPr="00F00E04">
        <w:rPr>
          <w:rFonts w:ascii="gobCL" w:hAnsi="gobCL"/>
        </w:rPr>
        <w:t xml:space="preserve">.- </w:t>
      </w:r>
      <w:r w:rsidR="00A31B8D" w:rsidRPr="00F00E04">
        <w:rPr>
          <w:rFonts w:ascii="gobCL" w:hAnsi="gobCL"/>
        </w:rPr>
        <w:t xml:space="preserve">Mi consulta es respecto del criterio que aplica la </w:t>
      </w:r>
      <w:proofErr w:type="spellStart"/>
      <w:r w:rsidR="00A31B8D" w:rsidRPr="00F00E04">
        <w:rPr>
          <w:rFonts w:ascii="gobCL" w:hAnsi="gobCL"/>
        </w:rPr>
        <w:t>Subpesc</w:t>
      </w:r>
      <w:r w:rsidR="00D57FF2">
        <w:rPr>
          <w:rFonts w:ascii="gobCL" w:hAnsi="gobCL"/>
        </w:rPr>
        <w:t>a</w:t>
      </w:r>
      <w:proofErr w:type="spellEnd"/>
      <w:r w:rsidR="00D57FF2">
        <w:rPr>
          <w:rFonts w:ascii="gobCL" w:hAnsi="gobCL"/>
        </w:rPr>
        <w:t xml:space="preserve"> para la exigencia establecida</w:t>
      </w:r>
      <w:r w:rsidR="00A31B8D" w:rsidRPr="00F00E04">
        <w:rPr>
          <w:rFonts w:ascii="gobCL" w:hAnsi="gobCL"/>
        </w:rPr>
        <w:t xml:space="preserve"> en las bases de las subastas de Permisos Extraordinarios de Pesca y en el Reglamento (D.S. N° 97 de 1996 y sus modificaciones) respecto del requisito correspondiente a que los interesados en participar de la subasta deben acompañar una declaración jurada que señale que no tiene relación directa o a través de terceras personas con otros participantes de la subasta como filial, matriz, coligada o </w:t>
      </w:r>
      <w:proofErr w:type="spellStart"/>
      <w:r w:rsidR="00A31B8D" w:rsidRPr="00F00E04">
        <w:rPr>
          <w:rFonts w:ascii="gobCL" w:hAnsi="gobCL"/>
        </w:rPr>
        <w:t>coligante</w:t>
      </w:r>
      <w:proofErr w:type="spellEnd"/>
      <w:r w:rsidR="00A31B8D" w:rsidRPr="00F00E04">
        <w:rPr>
          <w:rFonts w:ascii="gobCL" w:hAnsi="gobCL"/>
        </w:rPr>
        <w:t>, en los términos y significado que indican los artículos 86 y 87 de la Ley N° 18.046, sobre Sociedades Anónimas, aun cuando la entidad correspondiente sea cualquier otra especie de sociedad o entidad jurídica.</w:t>
      </w:r>
    </w:p>
    <w:p w:rsidR="00A31B8D" w:rsidRPr="00F00E04" w:rsidRDefault="00A31B8D" w:rsidP="008A5A34">
      <w:pPr>
        <w:ind w:left="709"/>
        <w:jc w:val="both"/>
        <w:rPr>
          <w:rFonts w:ascii="gobCL" w:hAnsi="gobCL"/>
        </w:rPr>
      </w:pPr>
      <w:r w:rsidRPr="00F00E04">
        <w:rPr>
          <w:rFonts w:ascii="gobCL" w:hAnsi="gobCL"/>
        </w:rPr>
        <w:t xml:space="preserve">Lo anterior en relación con lo establecido en el numeral 14 de las bases y también en el reglamento de la subasta en el que se señala que ningún oferente se podrá adjudicar directamente más de un 50 % de la cuota subastada, ya sea directamente o a través de otra persona con la que se relacione como filial, matriz, </w:t>
      </w:r>
      <w:proofErr w:type="spellStart"/>
      <w:r w:rsidRPr="00F00E04">
        <w:rPr>
          <w:rFonts w:ascii="gobCL" w:hAnsi="gobCL"/>
        </w:rPr>
        <w:t>coligante</w:t>
      </w:r>
      <w:proofErr w:type="spellEnd"/>
      <w:r w:rsidRPr="00F00E04">
        <w:rPr>
          <w:rFonts w:ascii="gobCL" w:hAnsi="gobCL"/>
        </w:rPr>
        <w:t xml:space="preserve"> o coligada. </w:t>
      </w:r>
    </w:p>
    <w:p w:rsidR="00A31B8D" w:rsidRPr="00F00E04" w:rsidRDefault="00A31B8D" w:rsidP="008A5A34">
      <w:pPr>
        <w:ind w:left="709"/>
        <w:jc w:val="both"/>
        <w:rPr>
          <w:rFonts w:ascii="gobCL" w:hAnsi="gobCL"/>
        </w:rPr>
      </w:pPr>
      <w:r w:rsidRPr="00F00E04">
        <w:rPr>
          <w:rFonts w:ascii="gobCL" w:hAnsi="gobCL"/>
        </w:rPr>
        <w:t xml:space="preserve">De esta forma, de acuerdo al criterio de asignación, si se permite que dos personas que tienen una relación de filial, matriz, </w:t>
      </w:r>
      <w:proofErr w:type="spellStart"/>
      <w:r w:rsidRPr="00F00E04">
        <w:rPr>
          <w:rFonts w:ascii="gobCL" w:hAnsi="gobCL"/>
        </w:rPr>
        <w:t>coligante</w:t>
      </w:r>
      <w:proofErr w:type="spellEnd"/>
      <w:r w:rsidRPr="00F00E04">
        <w:rPr>
          <w:rFonts w:ascii="gobCL" w:hAnsi="gobCL"/>
        </w:rPr>
        <w:t xml:space="preserve"> o coligada pueden participar en la subasta, con la restricción al </w:t>
      </w:r>
      <w:r w:rsidR="008A5A34" w:rsidRPr="00F00E04">
        <w:rPr>
          <w:rFonts w:ascii="gobCL" w:hAnsi="gobCL"/>
        </w:rPr>
        <w:t>límite</w:t>
      </w:r>
      <w:r w:rsidRPr="00F00E04">
        <w:rPr>
          <w:rFonts w:ascii="gobCL" w:hAnsi="gobCL"/>
        </w:rPr>
        <w:t xml:space="preserve"> de adjudicación, lo que de alguna forma hace</w:t>
      </w:r>
      <w:r w:rsidR="006A03D9">
        <w:rPr>
          <w:rFonts w:ascii="gobCL" w:hAnsi="gobCL"/>
        </w:rPr>
        <w:t>r</w:t>
      </w:r>
      <w:r w:rsidRPr="00F00E04">
        <w:rPr>
          <w:rFonts w:ascii="gobCL" w:hAnsi="gobCL"/>
        </w:rPr>
        <w:t xml:space="preserve"> que el requisito de la declaración jurada no sea exigible en el sentido de imponer al interesado el deber de declarar que no existe relación de filial, matriz, </w:t>
      </w:r>
      <w:proofErr w:type="spellStart"/>
      <w:r w:rsidRPr="00F00E04">
        <w:rPr>
          <w:rFonts w:ascii="gobCL" w:hAnsi="gobCL"/>
        </w:rPr>
        <w:t>coligante</w:t>
      </w:r>
      <w:proofErr w:type="spellEnd"/>
      <w:r w:rsidRPr="00F00E04">
        <w:rPr>
          <w:rFonts w:ascii="gobCL" w:hAnsi="gobCL"/>
        </w:rPr>
        <w:t xml:space="preserve"> o coligada con otro participante, sino que se transformaría en el deber de declarar si existe o no esa relación entre dos o más participantes. </w:t>
      </w:r>
    </w:p>
    <w:p w:rsidR="008A5A34" w:rsidRDefault="00A31B8D" w:rsidP="00F00E04">
      <w:pPr>
        <w:ind w:left="709"/>
        <w:jc w:val="both"/>
        <w:rPr>
          <w:rFonts w:ascii="gobCL" w:hAnsi="gobCL"/>
        </w:rPr>
      </w:pPr>
      <w:r w:rsidRPr="00F00E04">
        <w:rPr>
          <w:rFonts w:ascii="gobCL" w:hAnsi="gobCL"/>
        </w:rPr>
        <w:t>De esta forma, creo que lo correcto es entender que si no se acompaña una declaración jurada en los términos señalados en las bases, en orden a declarar por el interesado que no tiene relación con otro participante, y si se acompaña a los antecedentes una declaración jurada en orden a señalar que si existe esta relación con otro</w:t>
      </w:r>
      <w:r w:rsidR="008A5A34" w:rsidRPr="00F00E04">
        <w:rPr>
          <w:rFonts w:ascii="gobCL" w:hAnsi="gobCL"/>
        </w:rPr>
        <w:t xml:space="preserve"> </w:t>
      </w:r>
      <w:r w:rsidRPr="00F00E04">
        <w:rPr>
          <w:rFonts w:ascii="gobCL" w:hAnsi="gobCL"/>
        </w:rPr>
        <w:t>participante debería darse por cumplido con los requisitos exigidos por la normativa vigente.</w:t>
      </w:r>
    </w:p>
    <w:p w:rsidR="00D40F74" w:rsidRDefault="00D40F74" w:rsidP="00F00E04">
      <w:pPr>
        <w:ind w:left="709"/>
        <w:jc w:val="both"/>
        <w:rPr>
          <w:rFonts w:ascii="gobCL" w:hAnsi="gobCL"/>
        </w:rPr>
      </w:pPr>
    </w:p>
    <w:p w:rsidR="00D40F74" w:rsidRDefault="00D40F74" w:rsidP="00F00E04">
      <w:pPr>
        <w:ind w:left="709"/>
        <w:jc w:val="both"/>
        <w:rPr>
          <w:rFonts w:ascii="gobCL" w:hAnsi="gobCL"/>
        </w:rPr>
      </w:pPr>
    </w:p>
    <w:p w:rsidR="00D40F74" w:rsidRDefault="00D40F74" w:rsidP="00F00E04">
      <w:pPr>
        <w:ind w:left="709"/>
        <w:jc w:val="both"/>
        <w:rPr>
          <w:rFonts w:ascii="gobCL" w:hAnsi="gobCL"/>
        </w:rPr>
      </w:pPr>
    </w:p>
    <w:p w:rsidR="00D40F74" w:rsidRPr="00F00E04" w:rsidRDefault="00D40F74" w:rsidP="00F00E04">
      <w:pPr>
        <w:ind w:left="709"/>
        <w:jc w:val="both"/>
        <w:rPr>
          <w:rFonts w:ascii="gobCL" w:hAnsi="gobCL"/>
        </w:rPr>
      </w:pPr>
    </w:p>
    <w:p w:rsidR="003558BD" w:rsidRDefault="00A31B8D" w:rsidP="008A5A34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  <w:r w:rsidRPr="00F00E04">
        <w:rPr>
          <w:rFonts w:ascii="gobCL" w:hAnsi="gobCL" w:cs="Times New Roman"/>
          <w:b/>
          <w:color w:val="1F497D" w:themeColor="text2"/>
          <w:lang w:eastAsia="es-CL"/>
        </w:rPr>
        <w:lastRenderedPageBreak/>
        <w:t>El Reglamento establecido mediante D.S. N° 97 de 1996, y sus modificaciones posteriores, del Ministerio de Economía, Fomento y Turismo establece</w:t>
      </w:r>
      <w:r w:rsidR="006A03D9">
        <w:rPr>
          <w:rFonts w:ascii="gobCL" w:hAnsi="gobCL" w:cs="Times New Roman"/>
          <w:b/>
          <w:color w:val="1F497D" w:themeColor="text2"/>
          <w:lang w:eastAsia="es-CL"/>
        </w:rPr>
        <w:t xml:space="preserve"> en su artículo 4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como requisito presentar una declaración jurada que dé cuenta que no existe relación directa o a través de terceras personas con otros participantes  de la subasta  como filial, matriz o </w:t>
      </w:r>
      <w:proofErr w:type="spellStart"/>
      <w:r w:rsidRPr="00F00E04">
        <w:rPr>
          <w:rFonts w:ascii="gobCL" w:hAnsi="gobCL" w:cs="Times New Roman"/>
          <w:b/>
          <w:color w:val="1F497D" w:themeColor="text2"/>
          <w:lang w:eastAsia="es-CL"/>
        </w:rPr>
        <w:t>coligante</w:t>
      </w:r>
      <w:proofErr w:type="spellEnd"/>
      <w:r w:rsidRPr="00F00E04">
        <w:rPr>
          <w:rFonts w:ascii="gobCL" w:hAnsi="gobCL" w:cs="Times New Roman"/>
          <w:b/>
          <w:color w:val="1F497D" w:themeColor="text2"/>
          <w:lang w:eastAsia="es-CL"/>
        </w:rPr>
        <w:t>.</w:t>
      </w:r>
      <w:r w:rsidR="006A03D9">
        <w:rPr>
          <w:rFonts w:ascii="gobCL" w:hAnsi="gobCL" w:cs="Times New Roman"/>
          <w:b/>
          <w:color w:val="1F497D" w:themeColor="text2"/>
          <w:lang w:eastAsia="es-CL"/>
        </w:rPr>
        <w:t xml:space="preserve"> Para estos efectos  se dará a estos términos  el significado que se indica en los artículos 86 y 87 de la Ley N° 18.</w:t>
      </w:r>
      <w:r w:rsidR="00072F7C">
        <w:rPr>
          <w:rFonts w:ascii="gobCL" w:hAnsi="gobCL" w:cs="Times New Roman"/>
          <w:b/>
          <w:color w:val="1F497D" w:themeColor="text2"/>
          <w:lang w:eastAsia="es-CL"/>
        </w:rPr>
        <w:t>04</w:t>
      </w:r>
      <w:r w:rsidR="006A03D9">
        <w:rPr>
          <w:rFonts w:ascii="gobCL" w:hAnsi="gobCL" w:cs="Times New Roman"/>
          <w:b/>
          <w:color w:val="1F497D" w:themeColor="text2"/>
          <w:lang w:eastAsia="es-CL"/>
        </w:rPr>
        <w:t xml:space="preserve">6, sobre Sociedades Anónimas, aun cuando la entidad correspondiente sea cualquier otra especie de sociedad o entidad jurídica.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Asimismo el artículo 15 del citado Reglamento establece un límite del 50% del total a </w:t>
      </w:r>
      <w:r w:rsidR="009A395A">
        <w:rPr>
          <w:rFonts w:ascii="gobCL" w:hAnsi="gobCL" w:cs="Times New Roman"/>
          <w:b/>
          <w:color w:val="1F497D" w:themeColor="text2"/>
          <w:lang w:eastAsia="es-CL"/>
        </w:rPr>
        <w:t xml:space="preserve">adjudicar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para  </w:t>
      </w:r>
      <w:r w:rsidR="009A395A">
        <w:rPr>
          <w:rFonts w:ascii="gobCL" w:hAnsi="gobCL" w:cs="Times New Roman"/>
          <w:b/>
          <w:color w:val="1F497D" w:themeColor="text2"/>
          <w:lang w:eastAsia="es-CL"/>
        </w:rPr>
        <w:t xml:space="preserve">sus participantes, ya sea directamente o 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>a través de  personas naturales o jurídicas</w:t>
      </w:r>
      <w:r w:rsidR="006A03D9">
        <w:rPr>
          <w:rFonts w:ascii="gobCL" w:hAnsi="gobCL" w:cs="Times New Roman"/>
          <w:b/>
          <w:color w:val="1F497D" w:themeColor="text2"/>
          <w:lang w:eastAsia="es-CL"/>
        </w:rPr>
        <w:t xml:space="preserve"> conforme </w:t>
      </w:r>
      <w:r w:rsidR="00072F7C">
        <w:rPr>
          <w:rFonts w:ascii="gobCL" w:hAnsi="gobCL" w:cs="Times New Roman"/>
          <w:b/>
          <w:color w:val="1F497D" w:themeColor="text2"/>
          <w:lang w:eastAsia="es-CL"/>
        </w:rPr>
        <w:t>a  lo señalado</w:t>
      </w:r>
      <w:r w:rsidR="006A03D9">
        <w:rPr>
          <w:rFonts w:ascii="gobCL" w:hAnsi="gobCL" w:cs="Times New Roman"/>
          <w:b/>
          <w:color w:val="1F497D" w:themeColor="text2"/>
          <w:lang w:eastAsia="es-CL"/>
        </w:rPr>
        <w:t xml:space="preserve"> en su artículo 4. </w:t>
      </w:r>
    </w:p>
    <w:p w:rsidR="00865AE9" w:rsidRDefault="00A31B8D" w:rsidP="00865AE9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En este sentido lo prescrito 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 xml:space="preserve">en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los artículos 4 y </w:t>
      </w:r>
      <w:r w:rsidR="00072F7C">
        <w:rPr>
          <w:rFonts w:ascii="gobCL" w:hAnsi="gobCL" w:cs="Times New Roman"/>
          <w:b/>
          <w:color w:val="1F497D" w:themeColor="text2"/>
          <w:lang w:eastAsia="es-CL"/>
        </w:rPr>
        <w:t>1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>5 del Reglamento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>,  constituyen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 requisito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>s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 previsto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>s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 de forma expresa en la norma, por tanto el participante al presentar sus antecedentes administrativos  deberá justificar en su carta conductora  el por qué no acompaña declaración jurada en los términ</w:t>
      </w:r>
      <w:r w:rsidR="003558BD">
        <w:rPr>
          <w:rFonts w:ascii="gobCL" w:hAnsi="gobCL" w:cs="Times New Roman"/>
          <w:b/>
          <w:color w:val="1F497D" w:themeColor="text2"/>
          <w:lang w:eastAsia="es-CL"/>
        </w:rPr>
        <w:t xml:space="preserve">os solicitados y deberá individualizar al 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 xml:space="preserve">otro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>oferente</w:t>
      </w:r>
      <w:r w:rsidR="00D40F74">
        <w:rPr>
          <w:rFonts w:ascii="gobCL" w:hAnsi="gobCL" w:cs="Times New Roman"/>
          <w:b/>
          <w:color w:val="1F497D" w:themeColor="text2"/>
          <w:lang w:eastAsia="es-CL"/>
        </w:rPr>
        <w:t xml:space="preserve"> u oferentes</w:t>
      </w:r>
      <w:r w:rsidR="003558BD">
        <w:rPr>
          <w:rFonts w:ascii="gobCL" w:hAnsi="gobCL" w:cs="Times New Roman"/>
          <w:b/>
          <w:color w:val="1F497D" w:themeColor="text2"/>
          <w:lang w:eastAsia="es-CL"/>
        </w:rPr>
        <w:t xml:space="preserve">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 participante</w:t>
      </w:r>
      <w:r w:rsidR="00D40F74">
        <w:rPr>
          <w:rFonts w:ascii="gobCL" w:hAnsi="gobCL" w:cs="Times New Roman"/>
          <w:b/>
          <w:color w:val="1F497D" w:themeColor="text2"/>
          <w:lang w:eastAsia="es-CL"/>
        </w:rPr>
        <w:t>s</w:t>
      </w:r>
      <w:r w:rsidR="003558BD">
        <w:rPr>
          <w:rFonts w:ascii="gobCL" w:hAnsi="gobCL" w:cs="Times New Roman"/>
          <w:b/>
          <w:color w:val="1F497D" w:themeColor="text2"/>
          <w:lang w:eastAsia="es-CL"/>
        </w:rPr>
        <w:t xml:space="preserve"> con el cual</w:t>
      </w:r>
      <w:r w:rsidR="00D40F74">
        <w:rPr>
          <w:rFonts w:ascii="gobCL" w:hAnsi="gobCL" w:cs="Times New Roman"/>
          <w:b/>
          <w:color w:val="1F497D" w:themeColor="text2"/>
          <w:lang w:eastAsia="es-CL"/>
        </w:rPr>
        <w:t xml:space="preserve"> o los cuales</w:t>
      </w:r>
      <w:r w:rsidR="003558BD">
        <w:rPr>
          <w:rFonts w:ascii="gobCL" w:hAnsi="gobCL" w:cs="Times New Roman"/>
          <w:b/>
          <w:color w:val="1F497D" w:themeColor="text2"/>
          <w:lang w:eastAsia="es-CL"/>
        </w:rPr>
        <w:t xml:space="preserve">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 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 xml:space="preserve">se encuentra relacionado 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en la misma subasta con el 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>objeto de dar cumplimiento al límite porcentual de adjudicación</w:t>
      </w:r>
      <w:r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 </w:t>
      </w:r>
      <w:r w:rsidR="004511CE">
        <w:rPr>
          <w:rFonts w:ascii="gobCL" w:hAnsi="gobCL" w:cs="Times New Roman"/>
          <w:b/>
          <w:color w:val="1F497D" w:themeColor="text2"/>
          <w:lang w:eastAsia="es-CL"/>
        </w:rPr>
        <w:t>establecido en la norma.</w:t>
      </w:r>
    </w:p>
    <w:p w:rsidR="00865AE9" w:rsidRDefault="003558BD" w:rsidP="00865AE9">
      <w:pPr>
        <w:ind w:left="709"/>
        <w:jc w:val="both"/>
        <w:rPr>
          <w:rFonts w:ascii="gobCL" w:hAnsi="gobCL" w:cs="Arial"/>
          <w:lang w:val="es-ES_tradnl"/>
        </w:rPr>
      </w:pPr>
      <w:r>
        <w:rPr>
          <w:rFonts w:ascii="gobCL" w:hAnsi="gobCL" w:cs="Times New Roman"/>
          <w:b/>
          <w:color w:val="1F497D" w:themeColor="text2"/>
          <w:lang w:eastAsia="es-CL"/>
        </w:rPr>
        <w:t>Además</w:t>
      </w:r>
      <w:r w:rsidR="00072F7C">
        <w:rPr>
          <w:rFonts w:ascii="gobCL" w:hAnsi="gobCL" w:cs="Times New Roman"/>
          <w:b/>
          <w:color w:val="1F497D" w:themeColor="text2"/>
          <w:lang w:eastAsia="es-CL"/>
        </w:rPr>
        <w:t>, en este caso</w:t>
      </w:r>
      <w:r>
        <w:rPr>
          <w:rFonts w:ascii="gobCL" w:hAnsi="gobCL" w:cs="Times New Roman"/>
          <w:b/>
          <w:color w:val="1F497D" w:themeColor="text2"/>
          <w:lang w:eastAsia="es-CL"/>
        </w:rPr>
        <w:t xml:space="preserve"> deberá acompañar declaración jurada ante notario</w:t>
      </w:r>
      <w:r w:rsidR="00072F7C">
        <w:rPr>
          <w:rFonts w:ascii="gobCL" w:hAnsi="gobCL" w:cs="Times New Roman"/>
          <w:b/>
          <w:color w:val="1F497D" w:themeColor="text2"/>
          <w:lang w:eastAsia="es-CL"/>
        </w:rPr>
        <w:t xml:space="preserve"> en los términos señalados, es decir, deberá señalar</w:t>
      </w:r>
      <w:r>
        <w:rPr>
          <w:rFonts w:ascii="gobCL" w:hAnsi="gobCL" w:cs="Times New Roman"/>
          <w:b/>
          <w:color w:val="1F497D" w:themeColor="text2"/>
          <w:lang w:eastAsia="es-CL"/>
        </w:rPr>
        <w:t xml:space="preserve"> que tiene relación  directa o a través de terceras personas naturales o jurídicas</w:t>
      </w:r>
      <w:r w:rsidR="008257C7">
        <w:rPr>
          <w:rFonts w:ascii="gobCL" w:hAnsi="gobCL" w:cs="Times New Roman"/>
          <w:b/>
          <w:color w:val="1F497D" w:themeColor="text2"/>
          <w:lang w:eastAsia="es-CL"/>
        </w:rPr>
        <w:t xml:space="preserve">, </w:t>
      </w:r>
      <w:r w:rsidR="00865AE9" w:rsidRPr="00865AE9">
        <w:rPr>
          <w:rFonts w:ascii="gobCL" w:hAnsi="gobCL" w:cs="Arial"/>
          <w:b/>
          <w:color w:val="1F497D" w:themeColor="text2"/>
          <w:lang w:val="es-ES_tradnl"/>
        </w:rPr>
        <w:t xml:space="preserve">como filial, matriz, coligada o </w:t>
      </w:r>
      <w:proofErr w:type="spellStart"/>
      <w:r w:rsidR="00865AE9" w:rsidRPr="00865AE9">
        <w:rPr>
          <w:rFonts w:ascii="gobCL" w:hAnsi="gobCL" w:cs="Arial"/>
          <w:b/>
          <w:color w:val="1F497D" w:themeColor="text2"/>
          <w:lang w:val="es-ES_tradnl"/>
        </w:rPr>
        <w:t>coligante</w:t>
      </w:r>
      <w:proofErr w:type="spellEnd"/>
      <w:r w:rsidR="00865AE9" w:rsidRPr="00865AE9">
        <w:rPr>
          <w:rFonts w:ascii="gobCL" w:hAnsi="gobCL" w:cs="Arial"/>
          <w:b/>
          <w:lang w:val="es-ES_tradnl"/>
        </w:rPr>
        <w:t>.</w:t>
      </w:r>
      <w:r w:rsidR="00865AE9" w:rsidRPr="00BB0030">
        <w:rPr>
          <w:rFonts w:ascii="gobCL" w:hAnsi="gobCL" w:cs="Arial"/>
          <w:lang w:val="es-ES_tradnl"/>
        </w:rPr>
        <w:t xml:space="preserve"> </w:t>
      </w:r>
    </w:p>
    <w:p w:rsidR="00A31B8D" w:rsidRDefault="00865AE9" w:rsidP="008A5A34">
      <w:pPr>
        <w:ind w:left="709"/>
        <w:jc w:val="both"/>
        <w:rPr>
          <w:rFonts w:ascii="gobCL" w:hAnsi="gobCL" w:cs="Arial"/>
          <w:b/>
          <w:color w:val="1F497D" w:themeColor="text2"/>
          <w:lang w:val="es-ES_tradnl"/>
        </w:rPr>
      </w:pPr>
      <w:r w:rsidRPr="00865AE9">
        <w:rPr>
          <w:rFonts w:ascii="gobCL" w:hAnsi="gobCL" w:cs="Arial"/>
          <w:b/>
          <w:color w:val="1F497D" w:themeColor="text2"/>
          <w:lang w:val="es-ES_tradnl"/>
        </w:rPr>
        <w:t>Para estos efectos se dará a estos términos el significado que se indica en los artículos 86 y 87 de la Ley N° 18.046, sobre Sociedades Anónimas, aun cuando la entidad correspondiente sea cualquier otra especie de sociedad o entidad jurídica.</w:t>
      </w:r>
    </w:p>
    <w:p w:rsidR="00865AE9" w:rsidRDefault="00865AE9" w:rsidP="008A5A34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</w:p>
    <w:p w:rsidR="00072F7C" w:rsidRDefault="00072F7C" w:rsidP="008A5A34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</w:p>
    <w:p w:rsidR="00072F7C" w:rsidRDefault="00072F7C" w:rsidP="008A5A34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</w:p>
    <w:p w:rsidR="00072F7C" w:rsidRDefault="00072F7C" w:rsidP="008A5A34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</w:p>
    <w:p w:rsidR="00072F7C" w:rsidRDefault="00072F7C" w:rsidP="008A5A34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</w:p>
    <w:p w:rsidR="00072F7C" w:rsidRDefault="00072F7C" w:rsidP="008A5A34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</w:p>
    <w:p w:rsidR="00072F7C" w:rsidRDefault="00072F7C" w:rsidP="008A5A34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</w:p>
    <w:p w:rsidR="00072F7C" w:rsidRDefault="00072F7C" w:rsidP="008A5A34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</w:p>
    <w:p w:rsidR="00072F7C" w:rsidRDefault="00072F7C" w:rsidP="008A5A34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</w:p>
    <w:p w:rsidR="00072F7C" w:rsidRPr="00865AE9" w:rsidRDefault="00072F7C" w:rsidP="008A5A34">
      <w:pPr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</w:p>
    <w:p w:rsidR="00B86F73" w:rsidRPr="00B86F73" w:rsidRDefault="00B86F73" w:rsidP="00B86F73">
      <w:pPr>
        <w:ind w:left="709"/>
        <w:rPr>
          <w:rFonts w:ascii="gobCL" w:hAnsi="gobCL"/>
        </w:rPr>
      </w:pPr>
      <w:r>
        <w:rPr>
          <w:rFonts w:ascii="gobCL" w:hAnsi="gobCL"/>
        </w:rPr>
        <w:t xml:space="preserve">2.- </w:t>
      </w:r>
      <w:r w:rsidRPr="00B86F73">
        <w:rPr>
          <w:rFonts w:ascii="gobCL" w:hAnsi="gobCL"/>
        </w:rPr>
        <w:t xml:space="preserve">Estimados Señores Subsecretaria de Pesca, </w:t>
      </w:r>
    </w:p>
    <w:p w:rsidR="00B86F73" w:rsidRPr="00B86F73" w:rsidRDefault="00B86F73" w:rsidP="00B86F73">
      <w:pPr>
        <w:ind w:left="709"/>
        <w:rPr>
          <w:rFonts w:ascii="gobCL" w:hAnsi="gobCL"/>
        </w:rPr>
      </w:pPr>
      <w:r w:rsidRPr="00B86F73">
        <w:rPr>
          <w:rFonts w:ascii="gobCL" w:hAnsi="gobCL"/>
        </w:rPr>
        <w:t>En el exterior de los sobres que van con la propuesta económica, al interior del Sobre N°2, donde debe identificarse nombre oferente, recurso, área, y N° de lote a que se refiere la oferta, qué debe indicarse para área en la subasta de Langostino Colorado? Y qué debe indicarse para área en la subasta de Langostino Amarillo</w:t>
      </w:r>
      <w:proofErr w:type="gramStart"/>
      <w:r w:rsidRPr="00B86F73">
        <w:rPr>
          <w:rFonts w:ascii="gobCL" w:hAnsi="gobCL"/>
        </w:rPr>
        <w:t>?</w:t>
      </w:r>
      <w:proofErr w:type="gramEnd"/>
    </w:p>
    <w:p w:rsidR="00B86F73" w:rsidRPr="00B86F73" w:rsidRDefault="00B86F73" w:rsidP="00B86F73">
      <w:pPr>
        <w:ind w:left="709"/>
        <w:rPr>
          <w:rFonts w:ascii="gobCL" w:hAnsi="gobCL"/>
        </w:rPr>
      </w:pPr>
      <w:r w:rsidRPr="00B86F73">
        <w:rPr>
          <w:rFonts w:ascii="gobCL" w:hAnsi="gobCL"/>
        </w:rPr>
        <w:t>Área: Unidad de Pesquería V - VIII Regiones</w:t>
      </w:r>
      <w:proofErr w:type="gramStart"/>
      <w:r w:rsidRPr="00B86F73">
        <w:rPr>
          <w:rFonts w:ascii="gobCL" w:hAnsi="gobCL"/>
        </w:rPr>
        <w:t>?</w:t>
      </w:r>
      <w:proofErr w:type="gramEnd"/>
      <w:r w:rsidRPr="00B86F73">
        <w:rPr>
          <w:rFonts w:ascii="gobCL" w:hAnsi="gobCL"/>
        </w:rPr>
        <w:t xml:space="preserve"> En ambos casos</w:t>
      </w:r>
      <w:proofErr w:type="gramStart"/>
      <w:r w:rsidRPr="00B86F73">
        <w:rPr>
          <w:rFonts w:ascii="gobCL" w:hAnsi="gobCL"/>
        </w:rPr>
        <w:t>?</w:t>
      </w:r>
      <w:proofErr w:type="gramEnd"/>
    </w:p>
    <w:p w:rsidR="00B86F73" w:rsidRPr="00B86F73" w:rsidRDefault="00B86F73" w:rsidP="00B86F73">
      <w:pPr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gobCL" w:hAnsi="gobCL"/>
          <w:b/>
          <w:color w:val="1F497D" w:themeColor="text2"/>
        </w:rPr>
      </w:pPr>
      <w:r w:rsidRPr="00B86F73">
        <w:rPr>
          <w:rFonts w:ascii="gobCL" w:hAnsi="gobCL"/>
          <w:b/>
          <w:color w:val="1F497D" w:themeColor="text2"/>
        </w:rPr>
        <w:t xml:space="preserve">Sí, el área corresponde a la unidad de Pesquería a señalar. </w:t>
      </w:r>
      <w:r>
        <w:rPr>
          <w:rFonts w:ascii="gobCL" w:hAnsi="gobCL"/>
          <w:b/>
          <w:color w:val="1F497D" w:themeColor="text2"/>
        </w:rPr>
        <w:t>Por lo tanto se debe indicar lo siguiente:</w:t>
      </w:r>
    </w:p>
    <w:p w:rsidR="00B86F73" w:rsidRPr="00B86F73" w:rsidRDefault="00B86F73" w:rsidP="00B86F73">
      <w:pPr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gobCL" w:hAnsi="gobCL"/>
          <w:b/>
          <w:color w:val="1F497D" w:themeColor="text2"/>
        </w:rPr>
      </w:pPr>
    </w:p>
    <w:p w:rsidR="00B86F73" w:rsidRPr="00B86F73" w:rsidRDefault="00B86F73" w:rsidP="00B86F73">
      <w:pPr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gobCL" w:hAnsi="gobCL"/>
          <w:b/>
          <w:color w:val="1F497D" w:themeColor="text2"/>
        </w:rPr>
      </w:pPr>
      <w:r w:rsidRPr="00B86F73">
        <w:rPr>
          <w:rFonts w:ascii="gobCL" w:hAnsi="gobCL"/>
          <w:b/>
          <w:color w:val="1F497D" w:themeColor="text2"/>
        </w:rPr>
        <w:t>Tratándose de la Subasta Permisos Extraordinarios Langostino amarillo:</w:t>
      </w:r>
    </w:p>
    <w:p w:rsidR="00B86F73" w:rsidRPr="00B86F73" w:rsidRDefault="00B86F73" w:rsidP="00B86F73">
      <w:pPr>
        <w:pStyle w:val="Prrafodelista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gobCL" w:eastAsia="Times New Roman" w:hAnsi="gobCL" w:cs="Arial"/>
          <w:b/>
          <w:color w:val="1F497D" w:themeColor="text2"/>
          <w:lang w:val="es-ES_tradnl" w:eastAsia="es-ES"/>
        </w:rPr>
      </w:pPr>
      <w:r w:rsidRPr="00B86F73">
        <w:rPr>
          <w:rFonts w:ascii="gobCL" w:hAnsi="gobCL"/>
          <w:b/>
          <w:color w:val="1F497D" w:themeColor="text2"/>
        </w:rPr>
        <w:t>Nombre Oferente</w:t>
      </w:r>
      <w:r>
        <w:rPr>
          <w:rFonts w:ascii="gobCL" w:hAnsi="gobCL"/>
          <w:b/>
          <w:color w:val="1F497D" w:themeColor="text2"/>
        </w:rPr>
        <w:t xml:space="preserve"> (completar)</w:t>
      </w:r>
    </w:p>
    <w:p w:rsidR="00B86F73" w:rsidRPr="00B86F73" w:rsidRDefault="00B86F73" w:rsidP="00B86F73">
      <w:pPr>
        <w:pStyle w:val="Prrafodelista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gobCL" w:eastAsia="Times New Roman" w:hAnsi="gobCL" w:cs="Arial"/>
          <w:b/>
          <w:color w:val="1F497D" w:themeColor="text2"/>
          <w:lang w:val="es-ES_tradnl" w:eastAsia="es-ES"/>
        </w:rPr>
      </w:pPr>
      <w:r w:rsidRPr="00B86F73">
        <w:rPr>
          <w:rFonts w:ascii="gobCL" w:hAnsi="gobCL"/>
          <w:b/>
          <w:color w:val="1F497D" w:themeColor="text2"/>
        </w:rPr>
        <w:t>Recurso: Langostino amarillo</w:t>
      </w:r>
      <w:r w:rsidRPr="00B86F73">
        <w:rPr>
          <w:rFonts w:ascii="gobCL" w:hAnsi="gobCL"/>
          <w:b/>
          <w:color w:val="1F497D" w:themeColor="text2"/>
        </w:rPr>
        <w:t xml:space="preserve"> </w:t>
      </w:r>
    </w:p>
    <w:p w:rsidR="00B86F73" w:rsidRPr="00B86F73" w:rsidRDefault="00B86F73" w:rsidP="00B86F73">
      <w:pPr>
        <w:pStyle w:val="Prrafodelista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gobCL" w:eastAsia="Times New Roman" w:hAnsi="gobCL" w:cs="Arial"/>
          <w:b/>
          <w:color w:val="1F497D" w:themeColor="text2"/>
          <w:lang w:val="es-ES_tradnl" w:eastAsia="es-ES"/>
        </w:rPr>
      </w:pPr>
      <w:r w:rsidRPr="00B86F73">
        <w:rPr>
          <w:rFonts w:ascii="gobCL" w:hAnsi="gobCL"/>
          <w:b/>
          <w:color w:val="1F497D" w:themeColor="text2"/>
        </w:rPr>
        <w:t xml:space="preserve">Área: </w:t>
      </w:r>
      <w:r w:rsidRPr="00B86F73">
        <w:rPr>
          <w:rFonts w:ascii="gobCL" w:hAnsi="gobCL"/>
          <w:b/>
          <w:color w:val="1F497D" w:themeColor="text2"/>
        </w:rPr>
        <w:t>Unidad de Pesquería V - VIII Regiones</w:t>
      </w:r>
    </w:p>
    <w:p w:rsidR="00B86F73" w:rsidRPr="00B86F73" w:rsidRDefault="00B86F73" w:rsidP="00B86F73">
      <w:pPr>
        <w:pStyle w:val="Prrafodelista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gobCL" w:eastAsia="Times New Roman" w:hAnsi="gobCL" w:cs="Arial"/>
          <w:b/>
          <w:color w:val="1F497D" w:themeColor="text2"/>
          <w:lang w:val="es-ES_tradnl" w:eastAsia="es-ES"/>
        </w:rPr>
      </w:pPr>
      <w:r w:rsidRPr="00B86F73">
        <w:rPr>
          <w:rFonts w:ascii="gobCL" w:hAnsi="gobCL"/>
          <w:b/>
          <w:color w:val="1F497D" w:themeColor="text2"/>
        </w:rPr>
        <w:t>N° Lot</w:t>
      </w:r>
      <w:r w:rsidRPr="00B86F73">
        <w:rPr>
          <w:rFonts w:ascii="gobCL" w:hAnsi="gobCL"/>
          <w:b/>
          <w:color w:val="1F497D" w:themeColor="text2"/>
        </w:rPr>
        <w:t>e a la que se refiere la ofert</w:t>
      </w:r>
      <w:r>
        <w:rPr>
          <w:rFonts w:ascii="gobCL" w:hAnsi="gobCL"/>
          <w:b/>
          <w:color w:val="1F497D" w:themeColor="text2"/>
        </w:rPr>
        <w:t>a (completar)</w:t>
      </w:r>
    </w:p>
    <w:p w:rsidR="00B86F73" w:rsidRPr="00B86F73" w:rsidRDefault="00B86F73" w:rsidP="00B86F7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gobCL" w:hAnsi="gobCL"/>
          <w:b/>
          <w:color w:val="1F497D" w:themeColor="text2"/>
          <w:lang w:val="es-ES_tradnl"/>
        </w:rPr>
      </w:pPr>
    </w:p>
    <w:p w:rsidR="00B86F73" w:rsidRPr="00B86F73" w:rsidRDefault="00B86F73" w:rsidP="00B86F73">
      <w:pPr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gobCL" w:hAnsi="gobCL"/>
          <w:b/>
          <w:color w:val="1F497D" w:themeColor="text2"/>
        </w:rPr>
      </w:pPr>
    </w:p>
    <w:p w:rsidR="00B86F73" w:rsidRPr="00B86F73" w:rsidRDefault="00B86F73" w:rsidP="00B86F73">
      <w:pPr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gobCL" w:hAnsi="gobCL"/>
          <w:b/>
          <w:color w:val="1F497D" w:themeColor="text2"/>
        </w:rPr>
      </w:pPr>
      <w:r w:rsidRPr="00B86F73">
        <w:rPr>
          <w:rFonts w:ascii="gobCL" w:hAnsi="gobCL"/>
          <w:b/>
          <w:color w:val="1F497D" w:themeColor="text2"/>
        </w:rPr>
        <w:t>Tratándose de la</w:t>
      </w:r>
      <w:r w:rsidRPr="00B86F73">
        <w:rPr>
          <w:rFonts w:ascii="gobCL" w:hAnsi="gobCL"/>
          <w:b/>
          <w:color w:val="1F497D" w:themeColor="text2"/>
        </w:rPr>
        <w:t xml:space="preserve"> </w:t>
      </w:r>
      <w:r w:rsidRPr="00B86F73">
        <w:rPr>
          <w:rFonts w:ascii="gobCL" w:hAnsi="gobCL"/>
          <w:b/>
          <w:color w:val="1F497D" w:themeColor="text2"/>
        </w:rPr>
        <w:t>Subasta Permisos Ex</w:t>
      </w:r>
      <w:r w:rsidRPr="00B86F73">
        <w:rPr>
          <w:rFonts w:ascii="gobCL" w:hAnsi="gobCL"/>
          <w:b/>
          <w:color w:val="1F497D" w:themeColor="text2"/>
        </w:rPr>
        <w:t>traordinarios Langostino colorado</w:t>
      </w:r>
      <w:r w:rsidRPr="00B86F73">
        <w:rPr>
          <w:rFonts w:ascii="gobCL" w:hAnsi="gobCL"/>
          <w:b/>
          <w:color w:val="1F497D" w:themeColor="text2"/>
        </w:rPr>
        <w:t>:</w:t>
      </w:r>
    </w:p>
    <w:p w:rsidR="00B86F73" w:rsidRPr="00B86F73" w:rsidRDefault="00B86F73" w:rsidP="00B86F73">
      <w:pPr>
        <w:pStyle w:val="Prrafodelista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gobCL" w:eastAsia="Times New Roman" w:hAnsi="gobCL" w:cs="Arial"/>
          <w:b/>
          <w:color w:val="1F497D" w:themeColor="text2"/>
          <w:lang w:val="es-ES_tradnl" w:eastAsia="es-ES"/>
        </w:rPr>
      </w:pPr>
      <w:r>
        <w:rPr>
          <w:rFonts w:ascii="gobCL" w:hAnsi="gobCL"/>
          <w:b/>
          <w:color w:val="1F497D" w:themeColor="text2"/>
        </w:rPr>
        <w:t>Nombre Oferente (completar)</w:t>
      </w:r>
    </w:p>
    <w:p w:rsidR="00B86F73" w:rsidRPr="00B86F73" w:rsidRDefault="00B86F73" w:rsidP="00B86F73">
      <w:pPr>
        <w:pStyle w:val="Prrafodelista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gobCL" w:eastAsia="Times New Roman" w:hAnsi="gobCL" w:cs="Arial"/>
          <w:b/>
          <w:color w:val="1F497D" w:themeColor="text2"/>
          <w:lang w:val="es-ES_tradnl" w:eastAsia="es-ES"/>
        </w:rPr>
      </w:pPr>
      <w:r w:rsidRPr="00B86F73">
        <w:rPr>
          <w:rFonts w:ascii="gobCL" w:hAnsi="gobCL"/>
          <w:b/>
          <w:color w:val="1F497D" w:themeColor="text2"/>
        </w:rPr>
        <w:t>Recurso</w:t>
      </w:r>
      <w:r w:rsidRPr="00B86F73">
        <w:rPr>
          <w:rFonts w:ascii="gobCL" w:hAnsi="gobCL"/>
          <w:b/>
          <w:color w:val="1F497D" w:themeColor="text2"/>
        </w:rPr>
        <w:t>: Langostino colorado</w:t>
      </w:r>
      <w:r w:rsidRPr="00B86F73">
        <w:rPr>
          <w:rFonts w:ascii="gobCL" w:hAnsi="gobCL"/>
          <w:b/>
          <w:color w:val="1F497D" w:themeColor="text2"/>
        </w:rPr>
        <w:t xml:space="preserve"> </w:t>
      </w:r>
    </w:p>
    <w:p w:rsidR="00B86F73" w:rsidRPr="00B86F73" w:rsidRDefault="00B86F73" w:rsidP="00B86F73">
      <w:pPr>
        <w:pStyle w:val="Prrafodelista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gobCL" w:eastAsia="Times New Roman" w:hAnsi="gobCL" w:cs="Arial"/>
          <w:b/>
          <w:color w:val="1F497D" w:themeColor="text2"/>
          <w:lang w:val="es-ES_tradnl" w:eastAsia="es-ES"/>
        </w:rPr>
      </w:pPr>
      <w:r w:rsidRPr="00B86F73">
        <w:rPr>
          <w:rFonts w:ascii="gobCL" w:hAnsi="gobCL"/>
          <w:b/>
          <w:color w:val="1F497D" w:themeColor="text2"/>
        </w:rPr>
        <w:t>Área: Unidad de Pesquería V - VIII Regiones</w:t>
      </w:r>
    </w:p>
    <w:p w:rsidR="00B86F73" w:rsidRPr="00B86F73" w:rsidRDefault="00B86F73" w:rsidP="00B86F73">
      <w:pPr>
        <w:pStyle w:val="Prrafodelista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gobCL" w:eastAsia="Times New Roman" w:hAnsi="gobCL" w:cs="Arial"/>
          <w:b/>
          <w:color w:val="1F497D" w:themeColor="text2"/>
          <w:lang w:val="es-ES_tradnl" w:eastAsia="es-ES"/>
        </w:rPr>
      </w:pPr>
      <w:r w:rsidRPr="00B86F73">
        <w:rPr>
          <w:rFonts w:ascii="gobCL" w:hAnsi="gobCL"/>
          <w:b/>
          <w:color w:val="1F497D" w:themeColor="text2"/>
        </w:rPr>
        <w:t>N° Lote a la que se refiere la oferta</w:t>
      </w:r>
      <w:r>
        <w:rPr>
          <w:rFonts w:ascii="gobCL" w:hAnsi="gobCL"/>
          <w:b/>
          <w:color w:val="1F497D" w:themeColor="text2"/>
        </w:rPr>
        <w:t xml:space="preserve"> (completar)</w:t>
      </w:r>
    </w:p>
    <w:p w:rsidR="00B86F73" w:rsidRPr="00B86F73" w:rsidRDefault="00B86F73" w:rsidP="00B86F73">
      <w:pPr>
        <w:ind w:left="709"/>
        <w:rPr>
          <w:rFonts w:ascii="gobCL" w:hAnsi="gobCL"/>
          <w:lang w:val="es-ES_tradnl"/>
        </w:rPr>
      </w:pPr>
    </w:p>
    <w:p w:rsidR="00B86F73" w:rsidRPr="00B86F73" w:rsidRDefault="00B86F73" w:rsidP="00B86F73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gobCL" w:eastAsia="Times New Roman" w:hAnsi="gobCL" w:cs="Arial"/>
          <w:lang w:val="es-ES_tradnl" w:eastAsia="es-ES"/>
        </w:rPr>
      </w:pPr>
    </w:p>
    <w:p w:rsidR="00B86F73" w:rsidRPr="00B86F73" w:rsidRDefault="00B86F73" w:rsidP="00B86F73">
      <w:pPr>
        <w:ind w:left="709"/>
        <w:rPr>
          <w:rFonts w:ascii="gobCL" w:hAnsi="gobCL"/>
          <w:lang w:val="es-ES_tradnl"/>
        </w:rPr>
      </w:pPr>
    </w:p>
    <w:p w:rsidR="00A62A13" w:rsidRPr="00B86F73" w:rsidRDefault="00466946" w:rsidP="00B86F73">
      <w:pPr>
        <w:ind w:left="709"/>
        <w:jc w:val="both"/>
        <w:rPr>
          <w:rFonts w:ascii="gobCL" w:hAnsi="gobCL"/>
          <w:lang w:val="es-ES_tradnl"/>
        </w:rPr>
      </w:pPr>
      <w:bookmarkStart w:id="0" w:name="_GoBack"/>
      <w:bookmarkEnd w:id="0"/>
    </w:p>
    <w:sectPr w:rsidR="00A62A13" w:rsidRPr="00B86F73" w:rsidSect="00176FAB">
      <w:headerReference w:type="default" r:id="rId9"/>
      <w:foot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70" w:rsidRDefault="0089461B">
      <w:pPr>
        <w:spacing w:after="0" w:line="240" w:lineRule="auto"/>
      </w:pPr>
      <w:r>
        <w:separator/>
      </w:r>
    </w:p>
  </w:endnote>
  <w:endnote w:type="continuationSeparator" w:id="0">
    <w:p w:rsidR="00C14170" w:rsidRDefault="0089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877090"/>
      <w:docPartObj>
        <w:docPartGallery w:val="Page Numbers (Bottom of Page)"/>
        <w:docPartUnique/>
      </w:docPartObj>
    </w:sdtPr>
    <w:sdtEndPr/>
    <w:sdtContent>
      <w:p w:rsidR="00385F45" w:rsidRDefault="00443FC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F73" w:rsidRPr="00B86F73">
          <w:rPr>
            <w:noProof/>
            <w:lang w:val="es-ES"/>
          </w:rPr>
          <w:t>3</w:t>
        </w:r>
        <w:r>
          <w:fldChar w:fldCharType="end"/>
        </w:r>
      </w:p>
    </w:sdtContent>
  </w:sdt>
  <w:p w:rsidR="00385F45" w:rsidRDefault="004669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70" w:rsidRDefault="0089461B">
      <w:pPr>
        <w:spacing w:after="0" w:line="240" w:lineRule="auto"/>
      </w:pPr>
      <w:r>
        <w:separator/>
      </w:r>
    </w:p>
  </w:footnote>
  <w:footnote w:type="continuationSeparator" w:id="0">
    <w:p w:rsidR="00C14170" w:rsidRDefault="0089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5C4" w:rsidRDefault="00443FC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15612FD" wp14:editId="7E2339BD">
          <wp:simplePos x="0" y="0"/>
          <wp:positionH relativeFrom="column">
            <wp:posOffset>-692785</wp:posOffset>
          </wp:positionH>
          <wp:positionV relativeFrom="paragraph">
            <wp:posOffset>-154305</wp:posOffset>
          </wp:positionV>
          <wp:extent cx="1654175" cy="1592580"/>
          <wp:effectExtent l="0" t="0" r="3175" b="762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159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AAB"/>
    <w:multiLevelType w:val="hybridMultilevel"/>
    <w:tmpl w:val="06B221C2"/>
    <w:lvl w:ilvl="0" w:tplc="9E22E8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83131"/>
    <w:multiLevelType w:val="hybridMultilevel"/>
    <w:tmpl w:val="EFA659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37022"/>
    <w:multiLevelType w:val="hybridMultilevel"/>
    <w:tmpl w:val="3EA4AE34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AD2C51"/>
    <w:multiLevelType w:val="hybridMultilevel"/>
    <w:tmpl w:val="99D29E10"/>
    <w:lvl w:ilvl="0" w:tplc="59F0D722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D1441"/>
    <w:multiLevelType w:val="hybridMultilevel"/>
    <w:tmpl w:val="4A24B008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0629A9"/>
    <w:multiLevelType w:val="hybridMultilevel"/>
    <w:tmpl w:val="849E161A"/>
    <w:lvl w:ilvl="0" w:tplc="6D525E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B5B27"/>
    <w:multiLevelType w:val="hybridMultilevel"/>
    <w:tmpl w:val="DC6E1A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B22A3"/>
    <w:multiLevelType w:val="hybridMultilevel"/>
    <w:tmpl w:val="CA500302"/>
    <w:lvl w:ilvl="0" w:tplc="561E4880">
      <w:start w:val="1"/>
      <w:numFmt w:val="lowerRoman"/>
      <w:lvlText w:val="%1)"/>
      <w:lvlJc w:val="left"/>
      <w:pPr>
        <w:ind w:left="2136" w:hanging="720"/>
      </w:pPr>
      <w:rPr>
        <w:rFonts w:eastAsia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E8440DD"/>
    <w:multiLevelType w:val="hybridMultilevel"/>
    <w:tmpl w:val="6792B260"/>
    <w:lvl w:ilvl="0" w:tplc="CAB87D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FE16F2"/>
    <w:multiLevelType w:val="hybridMultilevel"/>
    <w:tmpl w:val="E238146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C2AD8"/>
    <w:multiLevelType w:val="hybridMultilevel"/>
    <w:tmpl w:val="CCDEDD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B2712"/>
    <w:multiLevelType w:val="hybridMultilevel"/>
    <w:tmpl w:val="D0ACCE9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32192"/>
    <w:multiLevelType w:val="hybridMultilevel"/>
    <w:tmpl w:val="050CF7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C2"/>
    <w:rsid w:val="00050E76"/>
    <w:rsid w:val="00072F7C"/>
    <w:rsid w:val="001C637A"/>
    <w:rsid w:val="002F613B"/>
    <w:rsid w:val="00316B7B"/>
    <w:rsid w:val="003558BD"/>
    <w:rsid w:val="00443FC2"/>
    <w:rsid w:val="004511CE"/>
    <w:rsid w:val="00482284"/>
    <w:rsid w:val="00526E9F"/>
    <w:rsid w:val="0053584B"/>
    <w:rsid w:val="00541D03"/>
    <w:rsid w:val="006A03D9"/>
    <w:rsid w:val="006A2EC2"/>
    <w:rsid w:val="0075730B"/>
    <w:rsid w:val="007D7DAF"/>
    <w:rsid w:val="007F504A"/>
    <w:rsid w:val="008040AF"/>
    <w:rsid w:val="008257C7"/>
    <w:rsid w:val="0086567F"/>
    <w:rsid w:val="00865AE9"/>
    <w:rsid w:val="0089461B"/>
    <w:rsid w:val="008A5A34"/>
    <w:rsid w:val="009A395A"/>
    <w:rsid w:val="009A6983"/>
    <w:rsid w:val="00A31B8D"/>
    <w:rsid w:val="00A4725E"/>
    <w:rsid w:val="00B86F73"/>
    <w:rsid w:val="00C14170"/>
    <w:rsid w:val="00C62983"/>
    <w:rsid w:val="00D40F74"/>
    <w:rsid w:val="00D57FF2"/>
    <w:rsid w:val="00E563C5"/>
    <w:rsid w:val="00E76DE6"/>
    <w:rsid w:val="00F00E04"/>
    <w:rsid w:val="00F026BF"/>
    <w:rsid w:val="00F0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EC2"/>
  </w:style>
  <w:style w:type="paragraph" w:styleId="Piedepgina">
    <w:name w:val="footer"/>
    <w:basedOn w:val="Normal"/>
    <w:link w:val="PiedepginaCar"/>
    <w:uiPriority w:val="99"/>
    <w:unhideWhenUsed/>
    <w:rsid w:val="006A2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EC2"/>
  </w:style>
  <w:style w:type="paragraph" w:styleId="Textosinformato">
    <w:name w:val="Plain Text"/>
    <w:basedOn w:val="Normal"/>
    <w:link w:val="TextosinformatoCar"/>
    <w:uiPriority w:val="99"/>
    <w:semiHidden/>
    <w:unhideWhenUsed/>
    <w:rsid w:val="006A2EC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A2EC2"/>
    <w:rPr>
      <w:rFonts w:ascii="Calibri" w:hAnsi="Calibri"/>
      <w:szCs w:val="21"/>
    </w:rPr>
  </w:style>
  <w:style w:type="paragraph" w:styleId="Prrafodelista">
    <w:name w:val="List Paragraph"/>
    <w:basedOn w:val="Normal"/>
    <w:uiPriority w:val="34"/>
    <w:qFormat/>
    <w:rsid w:val="00482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B8D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31B8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EC2"/>
  </w:style>
  <w:style w:type="paragraph" w:styleId="Piedepgina">
    <w:name w:val="footer"/>
    <w:basedOn w:val="Normal"/>
    <w:link w:val="PiedepginaCar"/>
    <w:uiPriority w:val="99"/>
    <w:unhideWhenUsed/>
    <w:rsid w:val="006A2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EC2"/>
  </w:style>
  <w:style w:type="paragraph" w:styleId="Textosinformato">
    <w:name w:val="Plain Text"/>
    <w:basedOn w:val="Normal"/>
    <w:link w:val="TextosinformatoCar"/>
    <w:uiPriority w:val="99"/>
    <w:semiHidden/>
    <w:unhideWhenUsed/>
    <w:rsid w:val="006A2EC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A2EC2"/>
    <w:rPr>
      <w:rFonts w:ascii="Calibri" w:hAnsi="Calibri"/>
      <w:szCs w:val="21"/>
    </w:rPr>
  </w:style>
  <w:style w:type="paragraph" w:styleId="Prrafodelista">
    <w:name w:val="List Paragraph"/>
    <w:basedOn w:val="Normal"/>
    <w:uiPriority w:val="34"/>
    <w:qFormat/>
    <w:rsid w:val="00482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B8D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31B8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stapublica@subpesca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Marcela Gonzalez Guevara</cp:lastModifiedBy>
  <cp:revision>2</cp:revision>
  <cp:lastPrinted>2017-11-30T20:53:00Z</cp:lastPrinted>
  <dcterms:created xsi:type="dcterms:W3CDTF">2017-12-05T14:45:00Z</dcterms:created>
  <dcterms:modified xsi:type="dcterms:W3CDTF">2017-12-05T14:45:00Z</dcterms:modified>
</cp:coreProperties>
</file>