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91" w:rsidRPr="00DE0EC7" w:rsidRDefault="00867F91" w:rsidP="00867F91">
      <w:pPr>
        <w:spacing w:after="0" w:line="240" w:lineRule="auto"/>
        <w:rPr>
          <w:rFonts w:ascii="gobCL" w:hAnsi="gobCL"/>
          <w:b/>
          <w:sz w:val="24"/>
          <w:szCs w:val="24"/>
          <w:u w:val="single"/>
          <w:lang w:eastAsia="es-CL"/>
        </w:rPr>
      </w:pPr>
    </w:p>
    <w:p w:rsidR="00867F91" w:rsidRPr="00DE0EC7" w:rsidRDefault="00867F91" w:rsidP="00867F91">
      <w:pPr>
        <w:spacing w:after="0" w:line="240" w:lineRule="auto"/>
        <w:rPr>
          <w:rFonts w:ascii="gobCL" w:hAnsi="gobCL"/>
          <w:b/>
          <w:sz w:val="24"/>
          <w:szCs w:val="24"/>
          <w:u w:val="single"/>
          <w:lang w:eastAsia="es-CL"/>
        </w:rPr>
      </w:pPr>
      <w:r w:rsidRPr="00DE0EC7">
        <w:rPr>
          <w:rFonts w:ascii="gobCL" w:hAnsi="gobCL"/>
          <w:b/>
          <w:sz w:val="24"/>
          <w:szCs w:val="24"/>
          <w:u w:val="single"/>
          <w:lang w:eastAsia="es-CL"/>
        </w:rPr>
        <w:t>ACLARACIONES A BASES ADMINISTRATIVAS SUBASTA LICENCIA TRANSABLE DE PESCA TIPO B</w:t>
      </w:r>
    </w:p>
    <w:p w:rsidR="00867F91" w:rsidRPr="00DE0EC7" w:rsidRDefault="00867F91" w:rsidP="00867F91">
      <w:pPr>
        <w:spacing w:line="240" w:lineRule="auto"/>
        <w:jc w:val="both"/>
        <w:rPr>
          <w:rFonts w:ascii="gobCL" w:hAnsi="gobCL"/>
          <w:b/>
          <w:color w:val="1F497D" w:themeColor="text2"/>
          <w:sz w:val="24"/>
          <w:szCs w:val="24"/>
          <w:lang w:eastAsia="es-CL"/>
        </w:rPr>
      </w:pPr>
    </w:p>
    <w:p w:rsidR="00867F91" w:rsidRPr="00DE0EC7" w:rsidRDefault="00867F91" w:rsidP="00867F91">
      <w:pPr>
        <w:spacing w:line="240" w:lineRule="auto"/>
        <w:jc w:val="both"/>
        <w:rPr>
          <w:rFonts w:ascii="gobCL" w:hAnsi="gobCL"/>
          <w:sz w:val="24"/>
          <w:szCs w:val="24"/>
        </w:rPr>
      </w:pPr>
      <w:r w:rsidRPr="00DE0EC7">
        <w:rPr>
          <w:rFonts w:ascii="gobCL" w:hAnsi="gobCL"/>
          <w:b/>
          <w:color w:val="1F497D" w:themeColor="text2"/>
          <w:sz w:val="24"/>
          <w:szCs w:val="24"/>
          <w:lang w:eastAsia="es-CL"/>
        </w:rPr>
        <w:t xml:space="preserve">Aclaraciones a las bases dirigidas al correo electrónico </w:t>
      </w:r>
      <w:hyperlink r:id="rId8" w:history="1">
        <w:r w:rsidRPr="00DE0EC7">
          <w:rPr>
            <w:rFonts w:ascii="gobCL" w:hAnsi="gobCL"/>
            <w:b/>
            <w:color w:val="1F497D" w:themeColor="text2"/>
            <w:sz w:val="24"/>
            <w:szCs w:val="24"/>
            <w:lang w:eastAsia="es-CL"/>
          </w:rPr>
          <w:t>subastapublica@subpesca.cl</w:t>
        </w:r>
      </w:hyperlink>
      <w:r w:rsidRPr="00DE0EC7">
        <w:rPr>
          <w:rFonts w:ascii="gobCL" w:hAnsi="gobCL"/>
          <w:b/>
          <w:color w:val="1F497D" w:themeColor="text2"/>
          <w:sz w:val="24"/>
          <w:szCs w:val="24"/>
          <w:lang w:eastAsia="es-CL"/>
        </w:rPr>
        <w:t xml:space="preserve"> a la fecha de </w:t>
      </w:r>
      <w:r w:rsidR="00D85E27">
        <w:rPr>
          <w:rFonts w:ascii="gobCL" w:hAnsi="gobCL"/>
          <w:b/>
          <w:color w:val="1F497D" w:themeColor="text2"/>
          <w:sz w:val="24"/>
          <w:szCs w:val="24"/>
          <w:lang w:eastAsia="es-CL"/>
        </w:rPr>
        <w:t>12</w:t>
      </w:r>
      <w:r w:rsidRPr="00DE0EC7">
        <w:rPr>
          <w:rFonts w:ascii="gobCL" w:hAnsi="gobCL"/>
          <w:b/>
          <w:color w:val="1F497D" w:themeColor="text2"/>
          <w:sz w:val="24"/>
          <w:szCs w:val="24"/>
          <w:lang w:eastAsia="es-CL"/>
        </w:rPr>
        <w:t xml:space="preserve"> de </w:t>
      </w:r>
      <w:r w:rsidR="00D85E27">
        <w:rPr>
          <w:rFonts w:ascii="gobCL" w:hAnsi="gobCL"/>
          <w:b/>
          <w:color w:val="1F497D" w:themeColor="text2"/>
          <w:sz w:val="24"/>
          <w:szCs w:val="24"/>
          <w:lang w:eastAsia="es-CL"/>
        </w:rPr>
        <w:t>marzo</w:t>
      </w:r>
      <w:r w:rsidRPr="00DE0EC7">
        <w:rPr>
          <w:rFonts w:ascii="gobCL" w:hAnsi="gobCL"/>
          <w:b/>
          <w:color w:val="1F497D" w:themeColor="text2"/>
          <w:sz w:val="24"/>
          <w:szCs w:val="24"/>
          <w:lang w:eastAsia="es-CL"/>
        </w:rPr>
        <w:t xml:space="preserve"> de 201</w:t>
      </w:r>
      <w:r w:rsidR="00D85E27">
        <w:rPr>
          <w:rFonts w:ascii="gobCL" w:hAnsi="gobCL"/>
          <w:b/>
          <w:color w:val="1F497D" w:themeColor="text2"/>
          <w:sz w:val="24"/>
          <w:szCs w:val="24"/>
          <w:lang w:eastAsia="es-CL"/>
        </w:rPr>
        <w:t>8</w:t>
      </w:r>
      <w:r w:rsidRPr="00DE0EC7">
        <w:rPr>
          <w:rFonts w:ascii="gobCL" w:hAnsi="gobCL"/>
          <w:b/>
          <w:color w:val="1F497D" w:themeColor="text2"/>
          <w:sz w:val="24"/>
          <w:szCs w:val="24"/>
          <w:lang w:eastAsia="es-CL"/>
        </w:rPr>
        <w:t>, según el orden de llegada y dentro del plazo de 72 horas</w:t>
      </w:r>
    </w:p>
    <w:p w:rsidR="00D85E27" w:rsidRPr="001C598E" w:rsidRDefault="00D85E27" w:rsidP="001C598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bCL" w:hAnsi="gobCL"/>
          <w:sz w:val="24"/>
          <w:szCs w:val="24"/>
        </w:rPr>
      </w:pPr>
      <w:r w:rsidRPr="001C598E">
        <w:rPr>
          <w:rFonts w:ascii="gobCL" w:hAnsi="gobCL"/>
          <w:sz w:val="24"/>
          <w:szCs w:val="24"/>
        </w:rPr>
        <w:t>Señor Subsecretario, ¿</w:t>
      </w:r>
      <w:r w:rsidRPr="001C598E">
        <w:rPr>
          <w:rFonts w:ascii="gobCL" w:hAnsi="gobCL"/>
          <w:sz w:val="24"/>
          <w:szCs w:val="24"/>
        </w:rPr>
        <w:t>Cómo</w:t>
      </w:r>
      <w:r w:rsidRPr="001C598E">
        <w:rPr>
          <w:rFonts w:ascii="gobCL" w:hAnsi="gobCL"/>
          <w:sz w:val="24"/>
          <w:szCs w:val="24"/>
        </w:rPr>
        <w:t xml:space="preserve"> aplicará el punto n° 12 de las bases, criterio de adjudicación, a la Unidad de Pesquería V-IX donde el 40% máximo a adjudicar de la cuota sujeta a subasta es menor que cualquiera de los dos lotes que la componen</w:t>
      </w:r>
      <w:r w:rsidR="001C598E" w:rsidRPr="001C598E">
        <w:rPr>
          <w:rFonts w:ascii="gobCL" w:hAnsi="gobCL"/>
          <w:sz w:val="24"/>
          <w:szCs w:val="24"/>
        </w:rPr>
        <w:t>?</w:t>
      </w:r>
    </w:p>
    <w:p w:rsidR="00D85E27" w:rsidRPr="001C598E" w:rsidRDefault="001C598E" w:rsidP="001C598E">
      <w:pPr>
        <w:spacing w:line="240" w:lineRule="auto"/>
        <w:jc w:val="both"/>
        <w:rPr>
          <w:rFonts w:ascii="gobCL" w:hAnsi="gobCL"/>
          <w:b/>
          <w:color w:val="1F497D" w:themeColor="text2"/>
          <w:sz w:val="24"/>
          <w:szCs w:val="24"/>
        </w:rPr>
      </w:pPr>
      <w:r w:rsidRPr="001C598E">
        <w:rPr>
          <w:rFonts w:ascii="gobCL" w:hAnsi="gobCL"/>
          <w:b/>
          <w:color w:val="1F497D" w:themeColor="text2"/>
          <w:sz w:val="24"/>
          <w:szCs w:val="24"/>
        </w:rPr>
        <w:t>El límite del 40% se aplica al total de la cuota subastar del recurso jurel V-IX. Por ello se deben tener en cuenta los adjudicatarios del proceso del día 20 de diciembre de 2017.</w:t>
      </w:r>
    </w:p>
    <w:p w:rsidR="001C598E" w:rsidRPr="001C598E" w:rsidRDefault="001C598E" w:rsidP="001C598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bCL" w:eastAsia="Times New Roman" w:hAnsi="gobCL"/>
          <w:color w:val="000000"/>
          <w:sz w:val="24"/>
          <w:szCs w:val="24"/>
        </w:rPr>
      </w:pPr>
      <w:r w:rsidRPr="001C598E">
        <w:rPr>
          <w:rFonts w:ascii="gobCL" w:eastAsia="Times New Roman" w:hAnsi="gobCL"/>
          <w:color w:val="000000"/>
          <w:sz w:val="24"/>
          <w:szCs w:val="24"/>
        </w:rPr>
        <w:t>Sr. Subsecretario, agradeceré me</w:t>
      </w:r>
      <w:r w:rsidRPr="001C598E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1C598E">
        <w:rPr>
          <w:rFonts w:ascii="gobCL" w:eastAsia="Times New Roman" w:hAnsi="gobCL"/>
          <w:color w:val="000000"/>
          <w:sz w:val="24"/>
          <w:szCs w:val="24"/>
        </w:rPr>
        <w:t>confirme la fecha en que vence el plazo de entrega del sobre n</w:t>
      </w:r>
      <w:r w:rsidRPr="001C598E">
        <w:rPr>
          <w:rFonts w:ascii="gobCL" w:eastAsia="Times New Roman" w:hAnsi="gobCL" w:cs="gobCL"/>
          <w:color w:val="000000"/>
          <w:sz w:val="24"/>
          <w:szCs w:val="24"/>
        </w:rPr>
        <w:t>°</w:t>
      </w:r>
      <w:r w:rsidRPr="001C598E">
        <w:rPr>
          <w:rFonts w:ascii="gobCL" w:eastAsia="Times New Roman" w:hAnsi="gobCL"/>
          <w:color w:val="000000"/>
          <w:sz w:val="24"/>
          <w:szCs w:val="24"/>
        </w:rPr>
        <w:t xml:space="preserve"> 1, "antecedentes administrativos". Seg</w:t>
      </w:r>
      <w:r w:rsidRPr="001C598E">
        <w:rPr>
          <w:rFonts w:ascii="gobCL" w:eastAsia="Times New Roman" w:hAnsi="gobCL" w:cs="gobCL"/>
          <w:color w:val="000000"/>
          <w:sz w:val="24"/>
          <w:szCs w:val="24"/>
        </w:rPr>
        <w:t>ú</w:t>
      </w:r>
      <w:r w:rsidRPr="001C598E">
        <w:rPr>
          <w:rFonts w:ascii="gobCL" w:eastAsia="Times New Roman" w:hAnsi="gobCL"/>
          <w:color w:val="000000"/>
          <w:sz w:val="24"/>
          <w:szCs w:val="24"/>
        </w:rPr>
        <w:t>n el punto n</w:t>
      </w:r>
      <w:r w:rsidRPr="001C598E">
        <w:rPr>
          <w:rFonts w:ascii="gobCL" w:eastAsia="Times New Roman" w:hAnsi="gobCL" w:cs="gobCL"/>
          <w:color w:val="000000"/>
          <w:sz w:val="24"/>
          <w:szCs w:val="24"/>
        </w:rPr>
        <w:t>°</w:t>
      </w:r>
      <w:r w:rsidRPr="001C598E">
        <w:rPr>
          <w:rFonts w:ascii="gobCL" w:eastAsia="Times New Roman" w:hAnsi="gobCL"/>
          <w:color w:val="000000"/>
          <w:sz w:val="24"/>
          <w:szCs w:val="24"/>
        </w:rPr>
        <w:t xml:space="preserve"> 6 de la R.E. 884 este vence "dentro del plazo establecido en el punto 2 de estas bases", es decir el 15 de marzo. Sin embargo en los procesos anteriores este plazo venció en </w:t>
      </w:r>
      <w:r w:rsidRPr="001C598E">
        <w:rPr>
          <w:rFonts w:ascii="gobCL" w:eastAsia="Times New Roman" w:hAnsi="gobCL"/>
          <w:color w:val="000000"/>
          <w:sz w:val="24"/>
          <w:szCs w:val="24"/>
        </w:rPr>
        <w:t>simultáneo</w:t>
      </w:r>
      <w:r w:rsidRPr="001C598E">
        <w:rPr>
          <w:rFonts w:ascii="gobCL" w:eastAsia="Times New Roman" w:hAnsi="gobCL"/>
          <w:color w:val="000000"/>
          <w:sz w:val="24"/>
          <w:szCs w:val="24"/>
        </w:rPr>
        <w:t xml:space="preserve"> con el de entrega de los sobres que contienen las ofertas económicas, que en este proceso es el 22 de marzo, según indica el punto 3 de la resolución.</w:t>
      </w:r>
    </w:p>
    <w:p w:rsidR="001C598E" w:rsidRPr="001C598E" w:rsidRDefault="001C598E" w:rsidP="001C598E">
      <w:pPr>
        <w:spacing w:line="240" w:lineRule="auto"/>
        <w:jc w:val="both"/>
        <w:rPr>
          <w:rFonts w:ascii="gobCL" w:eastAsia="Times New Roman" w:hAnsi="gobCL"/>
          <w:b/>
          <w:color w:val="1F497D" w:themeColor="text2"/>
          <w:sz w:val="24"/>
          <w:szCs w:val="24"/>
        </w:rPr>
      </w:pPr>
      <w:r w:rsidRPr="001C598E">
        <w:rPr>
          <w:rFonts w:ascii="gobCL" w:eastAsia="Times New Roman" w:hAnsi="gobCL"/>
          <w:b/>
          <w:color w:val="1F497D" w:themeColor="text2"/>
          <w:sz w:val="24"/>
          <w:szCs w:val="24"/>
        </w:rPr>
        <w:t>El límite para presentar el sobre 1 “Antecedentes administrativos” es las 14:00 del día 22 de marzo de 2018, en él se incluyen las garantías.</w:t>
      </w:r>
    </w:p>
    <w:p w:rsidR="001C598E" w:rsidRPr="001C598E" w:rsidRDefault="001C598E" w:rsidP="00AF407F">
      <w:pPr>
        <w:spacing w:line="240" w:lineRule="auto"/>
        <w:jc w:val="both"/>
        <w:rPr>
          <w:rFonts w:ascii="Calibri" w:eastAsia="Times New Roman" w:hAnsi="Calibri"/>
          <w:b/>
          <w:color w:val="1F497D" w:themeColor="text2"/>
        </w:rPr>
      </w:pPr>
      <w:r w:rsidRPr="001C598E">
        <w:rPr>
          <w:rFonts w:ascii="gobCL" w:eastAsia="Times New Roman" w:hAnsi="gobCL"/>
          <w:b/>
          <w:color w:val="1F497D" w:themeColor="text2"/>
          <w:sz w:val="24"/>
          <w:szCs w:val="24"/>
        </w:rPr>
        <w:t xml:space="preserve">El plazo de 15 de marzo de 2018, es el plazo límite que tienen los interesados para formular consultas al proceso de subasta. Consultas dirigidas al correo: </w:t>
      </w:r>
      <w:hyperlink r:id="rId9" w:history="1">
        <w:r w:rsidRPr="001C598E">
          <w:rPr>
            <w:rStyle w:val="Hipervnculo"/>
            <w:rFonts w:ascii="gobCL" w:eastAsia="Times New Roman" w:hAnsi="gobCL"/>
            <w:b/>
            <w:sz w:val="24"/>
            <w:szCs w:val="24"/>
          </w:rPr>
          <w:t>subastapublica@subpesca.cl</w:t>
        </w:r>
      </w:hyperlink>
      <w:bookmarkStart w:id="0" w:name="_GoBack"/>
      <w:bookmarkEnd w:id="0"/>
    </w:p>
    <w:p w:rsidR="001C598E" w:rsidRPr="001C598E" w:rsidRDefault="001C598E" w:rsidP="00D85E27">
      <w:pPr>
        <w:rPr>
          <w:b/>
          <w:color w:val="1F497D" w:themeColor="text2"/>
        </w:rPr>
      </w:pPr>
    </w:p>
    <w:p w:rsidR="00A62A13" w:rsidRPr="001C598E" w:rsidRDefault="00AF407F">
      <w:pPr>
        <w:rPr>
          <w:b/>
          <w:color w:val="1F497D" w:themeColor="text2"/>
        </w:rPr>
      </w:pPr>
    </w:p>
    <w:sectPr w:rsidR="00A62A13" w:rsidRPr="001C598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91" w:rsidRDefault="00867F91" w:rsidP="00867F91">
      <w:pPr>
        <w:spacing w:after="0" w:line="240" w:lineRule="auto"/>
      </w:pPr>
      <w:r>
        <w:separator/>
      </w:r>
    </w:p>
  </w:endnote>
  <w:endnote w:type="continuationSeparator" w:id="0">
    <w:p w:rsidR="00867F91" w:rsidRDefault="00867F91" w:rsidP="0086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91" w:rsidRDefault="00867F91" w:rsidP="00867F91">
      <w:pPr>
        <w:spacing w:after="0" w:line="240" w:lineRule="auto"/>
      </w:pPr>
      <w:r>
        <w:separator/>
      </w:r>
    </w:p>
  </w:footnote>
  <w:footnote w:type="continuationSeparator" w:id="0">
    <w:p w:rsidR="00867F91" w:rsidRDefault="00867F91" w:rsidP="0086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91" w:rsidRDefault="00867F9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E437D98" wp14:editId="3E360C3B">
          <wp:simplePos x="0" y="0"/>
          <wp:positionH relativeFrom="column">
            <wp:posOffset>-99695</wp:posOffset>
          </wp:positionH>
          <wp:positionV relativeFrom="paragraph">
            <wp:posOffset>150495</wp:posOffset>
          </wp:positionV>
          <wp:extent cx="1654175" cy="1592580"/>
          <wp:effectExtent l="0" t="0" r="3175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135"/>
    <w:multiLevelType w:val="hybridMultilevel"/>
    <w:tmpl w:val="5608E4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91"/>
    <w:rsid w:val="001C598E"/>
    <w:rsid w:val="0053584B"/>
    <w:rsid w:val="0086567F"/>
    <w:rsid w:val="00867F91"/>
    <w:rsid w:val="00AF407F"/>
    <w:rsid w:val="00D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F91"/>
  </w:style>
  <w:style w:type="paragraph" w:styleId="Piedepgina">
    <w:name w:val="footer"/>
    <w:basedOn w:val="Normal"/>
    <w:link w:val="PiedepginaCar"/>
    <w:uiPriority w:val="99"/>
    <w:unhideWhenUsed/>
    <w:rsid w:val="00867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F91"/>
  </w:style>
  <w:style w:type="paragraph" w:styleId="Prrafodelista">
    <w:name w:val="List Paragraph"/>
    <w:basedOn w:val="Normal"/>
    <w:uiPriority w:val="34"/>
    <w:qFormat/>
    <w:rsid w:val="00D85E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F91"/>
  </w:style>
  <w:style w:type="paragraph" w:styleId="Piedepgina">
    <w:name w:val="footer"/>
    <w:basedOn w:val="Normal"/>
    <w:link w:val="PiedepginaCar"/>
    <w:uiPriority w:val="99"/>
    <w:unhideWhenUsed/>
    <w:rsid w:val="00867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F91"/>
  </w:style>
  <w:style w:type="paragraph" w:styleId="Prrafodelista">
    <w:name w:val="List Paragraph"/>
    <w:basedOn w:val="Normal"/>
    <w:uiPriority w:val="34"/>
    <w:qFormat/>
    <w:rsid w:val="00D85E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astapublica@subpes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4</cp:revision>
  <dcterms:created xsi:type="dcterms:W3CDTF">2018-03-12T14:36:00Z</dcterms:created>
  <dcterms:modified xsi:type="dcterms:W3CDTF">2018-03-12T14:43:00Z</dcterms:modified>
</cp:coreProperties>
</file>