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B2" w:rsidRPr="002D45B2" w:rsidRDefault="002D45B2" w:rsidP="007E21B3">
      <w:pPr>
        <w:spacing w:after="0" w:line="240" w:lineRule="auto"/>
        <w:jc w:val="both"/>
        <w:rPr>
          <w:rFonts w:ascii="gobCL" w:hAnsi="gobCL"/>
          <w:b/>
          <w:sz w:val="24"/>
          <w:szCs w:val="24"/>
          <w:u w:val="single"/>
          <w:lang w:eastAsia="es-CL"/>
        </w:rPr>
      </w:pPr>
    </w:p>
    <w:p w:rsidR="002D45B2" w:rsidRPr="002D45B2" w:rsidRDefault="002D45B2" w:rsidP="007E21B3">
      <w:pPr>
        <w:spacing w:after="0" w:line="240" w:lineRule="auto"/>
        <w:jc w:val="both"/>
        <w:rPr>
          <w:rFonts w:ascii="gobCL" w:hAnsi="gobCL"/>
          <w:b/>
          <w:sz w:val="24"/>
          <w:szCs w:val="24"/>
          <w:u w:val="single"/>
          <w:lang w:eastAsia="es-CL"/>
        </w:rPr>
      </w:pPr>
      <w:r w:rsidRPr="002D45B2">
        <w:rPr>
          <w:rFonts w:ascii="gobCL" w:hAnsi="gobCL"/>
          <w:b/>
          <w:sz w:val="24"/>
          <w:szCs w:val="24"/>
          <w:u w:val="single"/>
          <w:lang w:eastAsia="es-CL"/>
        </w:rPr>
        <w:t>ACLARACIONES A BASES ADMINISTRATIVAS SUBASTA LICENCIA TRANSABLE DE PESCA TIPO B</w:t>
      </w:r>
    </w:p>
    <w:p w:rsidR="002D45B2" w:rsidRPr="002D45B2" w:rsidRDefault="002D45B2" w:rsidP="007E21B3">
      <w:pPr>
        <w:spacing w:line="240" w:lineRule="auto"/>
        <w:jc w:val="both"/>
        <w:rPr>
          <w:rFonts w:ascii="gobCL" w:hAnsi="gobCL"/>
          <w:b/>
          <w:color w:val="1F497D" w:themeColor="text2"/>
          <w:sz w:val="24"/>
          <w:szCs w:val="24"/>
          <w:lang w:eastAsia="es-CL"/>
        </w:rPr>
      </w:pPr>
    </w:p>
    <w:p w:rsidR="002D45B2" w:rsidRPr="002D45B2" w:rsidRDefault="002D45B2" w:rsidP="007E21B3">
      <w:pPr>
        <w:spacing w:line="240" w:lineRule="auto"/>
        <w:jc w:val="both"/>
        <w:rPr>
          <w:rFonts w:ascii="gobCL" w:hAnsi="gobCL"/>
          <w:sz w:val="24"/>
          <w:szCs w:val="24"/>
        </w:rPr>
      </w:pPr>
      <w:r w:rsidRPr="002D45B2">
        <w:rPr>
          <w:rFonts w:ascii="gobCL" w:hAnsi="gobCL"/>
          <w:b/>
          <w:color w:val="1F497D" w:themeColor="text2"/>
          <w:sz w:val="24"/>
          <w:szCs w:val="24"/>
          <w:lang w:eastAsia="es-CL"/>
        </w:rPr>
        <w:t xml:space="preserve">Aclaraciones a las bases dirigidas al correo electrónico </w:t>
      </w:r>
      <w:hyperlink r:id="rId8" w:history="1">
        <w:r w:rsidRPr="002D45B2">
          <w:rPr>
            <w:rFonts w:ascii="gobCL" w:hAnsi="gobCL"/>
            <w:b/>
            <w:color w:val="1F497D" w:themeColor="text2"/>
            <w:sz w:val="24"/>
            <w:szCs w:val="24"/>
            <w:lang w:eastAsia="es-CL"/>
          </w:rPr>
          <w:t>subastapublica@subpesca.cl</w:t>
        </w:r>
      </w:hyperlink>
      <w:r w:rsidRPr="002D45B2">
        <w:rPr>
          <w:rFonts w:ascii="gobCL" w:hAnsi="gobCL"/>
          <w:b/>
          <w:color w:val="1F497D" w:themeColor="text2"/>
          <w:sz w:val="24"/>
          <w:szCs w:val="24"/>
          <w:lang w:eastAsia="es-CL"/>
        </w:rPr>
        <w:t xml:space="preserve"> a la fecha de 0</w:t>
      </w:r>
      <w:r w:rsidRPr="00560443">
        <w:rPr>
          <w:rFonts w:ascii="gobCL" w:hAnsi="gobCL"/>
          <w:b/>
          <w:color w:val="1F497D" w:themeColor="text2"/>
          <w:sz w:val="24"/>
          <w:szCs w:val="24"/>
          <w:lang w:eastAsia="es-CL"/>
        </w:rPr>
        <w:t>6</w:t>
      </w:r>
      <w:r w:rsidRPr="002D45B2">
        <w:rPr>
          <w:rFonts w:ascii="gobCL" w:hAnsi="gobCL"/>
          <w:b/>
          <w:color w:val="1F497D" w:themeColor="text2"/>
          <w:sz w:val="24"/>
          <w:szCs w:val="24"/>
          <w:lang w:eastAsia="es-CL"/>
        </w:rPr>
        <w:t xml:space="preserve"> de diciembre de 2017, según el orden de llegada y dentro del plazo de 72 horas</w:t>
      </w:r>
    </w:p>
    <w:p w:rsidR="007B3AB7" w:rsidRPr="00560443" w:rsidRDefault="002D45B2" w:rsidP="007E21B3">
      <w:pPr>
        <w:spacing w:line="240" w:lineRule="auto"/>
        <w:jc w:val="both"/>
        <w:rPr>
          <w:rFonts w:ascii="gobCL" w:hAnsi="gobCL"/>
          <w:sz w:val="24"/>
          <w:szCs w:val="24"/>
        </w:rPr>
      </w:pPr>
      <w:r w:rsidRPr="00560443">
        <w:rPr>
          <w:rFonts w:ascii="gobCL" w:hAnsi="gobCL"/>
          <w:sz w:val="24"/>
          <w:szCs w:val="24"/>
        </w:rPr>
        <w:t xml:space="preserve">43. </w:t>
      </w:r>
      <w:r w:rsidR="00687D61" w:rsidRPr="00560443">
        <w:rPr>
          <w:rFonts w:ascii="gobCL" w:hAnsi="gobCL"/>
          <w:sz w:val="24"/>
          <w:szCs w:val="24"/>
        </w:rPr>
        <w:tab/>
      </w:r>
      <w:r w:rsidR="007E21B3" w:rsidRPr="00560443">
        <w:rPr>
          <w:rFonts w:ascii="gobCL" w:hAnsi="gobCL"/>
          <w:sz w:val="24"/>
          <w:szCs w:val="24"/>
        </w:rPr>
        <w:t>¿El cálculo para las garantías por lote debe realizarse en valor UTM o pesos?</w:t>
      </w:r>
    </w:p>
    <w:p w:rsidR="007B3AB7" w:rsidRPr="00560443" w:rsidRDefault="007B3AB7" w:rsidP="00687D61">
      <w:pPr>
        <w:spacing w:line="240" w:lineRule="auto"/>
        <w:ind w:left="708"/>
        <w:jc w:val="both"/>
        <w:rPr>
          <w:rFonts w:ascii="gobCL" w:hAnsi="gobCL"/>
          <w:b/>
          <w:color w:val="1F497D" w:themeColor="text2"/>
          <w:sz w:val="24"/>
          <w:szCs w:val="24"/>
        </w:rPr>
      </w:pPr>
      <w:r w:rsidRPr="00560443">
        <w:rPr>
          <w:rFonts w:ascii="gobCL" w:hAnsi="gobCL"/>
          <w:b/>
          <w:color w:val="1F497D" w:themeColor="text2"/>
          <w:sz w:val="24"/>
          <w:szCs w:val="24"/>
        </w:rPr>
        <w:t>Puede ser en cualquiera de las formas</w:t>
      </w:r>
      <w:r w:rsidR="00D45CA1" w:rsidRPr="00560443">
        <w:rPr>
          <w:rFonts w:ascii="gobCL" w:hAnsi="gobCL"/>
          <w:b/>
          <w:color w:val="1F497D" w:themeColor="text2"/>
          <w:sz w:val="24"/>
          <w:szCs w:val="24"/>
        </w:rPr>
        <w:t xml:space="preserve"> señaladas</w:t>
      </w:r>
      <w:r w:rsidRPr="00560443">
        <w:rPr>
          <w:rFonts w:ascii="gobCL" w:hAnsi="gobCL"/>
          <w:b/>
          <w:color w:val="1F497D" w:themeColor="text2"/>
          <w:sz w:val="24"/>
          <w:szCs w:val="24"/>
        </w:rPr>
        <w:t xml:space="preserve">, teniendo presente que debe ser equivalente al </w:t>
      </w:r>
      <w:r w:rsidR="00D45CA1" w:rsidRPr="00560443">
        <w:rPr>
          <w:rFonts w:ascii="gobCL" w:hAnsi="gobCL"/>
          <w:b/>
          <w:color w:val="1F497D" w:themeColor="text2"/>
          <w:sz w:val="24"/>
          <w:szCs w:val="24"/>
        </w:rPr>
        <w:t xml:space="preserve">monto de garantía </w:t>
      </w:r>
      <w:r w:rsidRPr="00560443">
        <w:rPr>
          <w:rFonts w:ascii="gobCL" w:hAnsi="gobCL"/>
          <w:b/>
          <w:color w:val="1F497D" w:themeColor="text2"/>
          <w:sz w:val="24"/>
          <w:szCs w:val="24"/>
        </w:rPr>
        <w:t>señalado en las bases adm</w:t>
      </w:r>
      <w:r w:rsidR="00D45CA1" w:rsidRPr="00560443">
        <w:rPr>
          <w:rFonts w:ascii="gobCL" w:hAnsi="gobCL"/>
          <w:b/>
          <w:color w:val="1F497D" w:themeColor="text2"/>
          <w:sz w:val="24"/>
          <w:szCs w:val="24"/>
        </w:rPr>
        <w:t>inistrativas</w:t>
      </w:r>
      <w:r w:rsidRPr="00560443">
        <w:rPr>
          <w:rFonts w:ascii="gobCL" w:hAnsi="gobCL"/>
          <w:b/>
          <w:color w:val="1F497D" w:themeColor="text2"/>
          <w:sz w:val="24"/>
          <w:szCs w:val="24"/>
        </w:rPr>
        <w:t xml:space="preserve"> </w:t>
      </w:r>
      <w:r w:rsidR="00D45CA1" w:rsidRPr="00560443">
        <w:rPr>
          <w:rFonts w:ascii="gobCL" w:hAnsi="gobCL"/>
          <w:b/>
          <w:color w:val="1F497D" w:themeColor="text2"/>
          <w:sz w:val="24"/>
          <w:szCs w:val="24"/>
        </w:rPr>
        <w:t>respectivas</w:t>
      </w:r>
      <w:r w:rsidRPr="00560443">
        <w:rPr>
          <w:rFonts w:ascii="gobCL" w:hAnsi="gobCL"/>
          <w:b/>
          <w:color w:val="1F497D" w:themeColor="text2"/>
          <w:sz w:val="24"/>
          <w:szCs w:val="24"/>
        </w:rPr>
        <w:t>.</w:t>
      </w:r>
    </w:p>
    <w:p w:rsidR="007E21B3" w:rsidRPr="00560443" w:rsidRDefault="007E21B3" w:rsidP="007E21B3">
      <w:pPr>
        <w:spacing w:line="240" w:lineRule="auto"/>
        <w:jc w:val="both"/>
        <w:rPr>
          <w:rFonts w:ascii="gobCL" w:hAnsi="gobCL"/>
          <w:b/>
          <w:color w:val="1F497D" w:themeColor="text2"/>
          <w:sz w:val="24"/>
          <w:szCs w:val="24"/>
        </w:rPr>
      </w:pPr>
    </w:p>
    <w:p w:rsidR="007E21B3" w:rsidRPr="00560443" w:rsidRDefault="007E21B3" w:rsidP="00687D61">
      <w:pPr>
        <w:spacing w:line="240" w:lineRule="auto"/>
        <w:ind w:left="705" w:hanging="705"/>
        <w:jc w:val="both"/>
        <w:rPr>
          <w:rFonts w:ascii="gobCL" w:hAnsi="gobCL"/>
          <w:sz w:val="24"/>
          <w:szCs w:val="24"/>
        </w:rPr>
      </w:pPr>
      <w:r w:rsidRPr="00560443">
        <w:rPr>
          <w:rFonts w:ascii="gobCL" w:hAnsi="gobCL"/>
          <w:sz w:val="24"/>
          <w:szCs w:val="24"/>
        </w:rPr>
        <w:t xml:space="preserve">44. </w:t>
      </w:r>
      <w:r w:rsidR="00687D61" w:rsidRPr="00560443">
        <w:rPr>
          <w:rFonts w:ascii="gobCL" w:hAnsi="gobCL"/>
          <w:sz w:val="24"/>
          <w:szCs w:val="24"/>
        </w:rPr>
        <w:tab/>
      </w:r>
      <w:r w:rsidRPr="00560443">
        <w:rPr>
          <w:rFonts w:ascii="gobCL" w:hAnsi="gobCL"/>
          <w:sz w:val="24"/>
          <w:szCs w:val="24"/>
        </w:rPr>
        <w:t>¿Para efectos del cálculo de la oferta debemos tomar como referencia la UTM de noviembre, diciembre o enero?</w:t>
      </w:r>
    </w:p>
    <w:p w:rsidR="007E21B3" w:rsidRPr="00560443" w:rsidRDefault="00D716BD" w:rsidP="00687D61">
      <w:pPr>
        <w:spacing w:line="240" w:lineRule="auto"/>
        <w:ind w:left="705"/>
        <w:jc w:val="both"/>
        <w:rPr>
          <w:rFonts w:ascii="gobCL" w:hAnsi="gobCL"/>
          <w:b/>
          <w:color w:val="1F497D" w:themeColor="text2"/>
          <w:sz w:val="24"/>
          <w:szCs w:val="24"/>
        </w:rPr>
      </w:pPr>
      <w:r>
        <w:rPr>
          <w:rFonts w:ascii="gobCL" w:hAnsi="gobCL"/>
          <w:b/>
          <w:color w:val="1F497D" w:themeColor="text2"/>
          <w:sz w:val="24"/>
          <w:szCs w:val="24"/>
        </w:rPr>
        <w:t xml:space="preserve">Se debe tomar </w:t>
      </w:r>
      <w:r w:rsidR="0030582F">
        <w:rPr>
          <w:rFonts w:ascii="gobCL" w:hAnsi="gobCL"/>
          <w:b/>
          <w:color w:val="1F497D" w:themeColor="text2"/>
          <w:sz w:val="24"/>
          <w:szCs w:val="24"/>
        </w:rPr>
        <w:t>como referencia la UTM del mes de diciembre.</w:t>
      </w:r>
    </w:p>
    <w:p w:rsidR="007E21B3" w:rsidRPr="00560443" w:rsidRDefault="007E21B3" w:rsidP="00687D61">
      <w:pPr>
        <w:spacing w:line="240" w:lineRule="auto"/>
        <w:ind w:left="705" w:hanging="705"/>
        <w:jc w:val="both"/>
        <w:rPr>
          <w:rFonts w:ascii="gobCL" w:hAnsi="gobCL"/>
          <w:sz w:val="24"/>
          <w:szCs w:val="24"/>
        </w:rPr>
      </w:pPr>
      <w:r w:rsidRPr="00560443">
        <w:rPr>
          <w:rFonts w:ascii="gobCL" w:hAnsi="gobCL"/>
          <w:sz w:val="24"/>
          <w:szCs w:val="24"/>
        </w:rPr>
        <w:t xml:space="preserve">45. </w:t>
      </w:r>
      <w:r w:rsidR="00687D61" w:rsidRPr="00560443">
        <w:rPr>
          <w:rFonts w:ascii="gobCL" w:hAnsi="gobCL"/>
          <w:sz w:val="24"/>
          <w:szCs w:val="24"/>
        </w:rPr>
        <w:tab/>
      </w:r>
      <w:r w:rsidRPr="00560443">
        <w:rPr>
          <w:rFonts w:ascii="gobCL" w:hAnsi="gobCL"/>
          <w:sz w:val="24"/>
          <w:szCs w:val="24"/>
        </w:rPr>
        <w:t>¿En el caso de que un oferente se adjudique un lote, el valor de ese lote será convertido a la UTM del mes de la publicación de las bases, de la licitación o de la fecha del pago de la primera anualidad</w:t>
      </w:r>
      <w:r w:rsidR="007B3AB7" w:rsidRPr="00560443">
        <w:rPr>
          <w:rFonts w:ascii="gobCL" w:hAnsi="gobCL"/>
          <w:sz w:val="24"/>
          <w:szCs w:val="24"/>
        </w:rPr>
        <w:t>?</w:t>
      </w:r>
    </w:p>
    <w:p w:rsidR="007B3AB7" w:rsidRPr="00560443" w:rsidRDefault="0030582F" w:rsidP="00687D61">
      <w:pPr>
        <w:spacing w:line="240" w:lineRule="auto"/>
        <w:ind w:left="705"/>
        <w:jc w:val="both"/>
        <w:rPr>
          <w:rFonts w:ascii="gobCL" w:hAnsi="gobCL"/>
          <w:b/>
          <w:color w:val="1F497D" w:themeColor="text2"/>
          <w:sz w:val="24"/>
          <w:szCs w:val="24"/>
        </w:rPr>
      </w:pPr>
      <w:r>
        <w:rPr>
          <w:rFonts w:ascii="gobCL" w:hAnsi="gobCL"/>
          <w:b/>
          <w:color w:val="1F497D" w:themeColor="text2"/>
          <w:sz w:val="24"/>
          <w:szCs w:val="24"/>
        </w:rPr>
        <w:t xml:space="preserve">La oferta se </w:t>
      </w:r>
      <w:r w:rsidR="00FC6D53">
        <w:rPr>
          <w:rFonts w:ascii="gobCL" w:hAnsi="gobCL"/>
          <w:b/>
          <w:color w:val="1F497D" w:themeColor="text2"/>
          <w:sz w:val="24"/>
          <w:szCs w:val="24"/>
        </w:rPr>
        <w:t>efectúa</w:t>
      </w:r>
      <w:r>
        <w:rPr>
          <w:rFonts w:ascii="gobCL" w:hAnsi="gobCL"/>
          <w:b/>
          <w:color w:val="1F497D" w:themeColor="text2"/>
          <w:sz w:val="24"/>
          <w:szCs w:val="24"/>
        </w:rPr>
        <w:t xml:space="preserve"> en UTM, siendo el valor a pagar por la primera anualidad la señalada en el formulario entregado por </w:t>
      </w:r>
      <w:proofErr w:type="spellStart"/>
      <w:r>
        <w:rPr>
          <w:rFonts w:ascii="gobCL" w:hAnsi="gobCL"/>
          <w:b/>
          <w:color w:val="1F497D" w:themeColor="text2"/>
          <w:sz w:val="24"/>
          <w:szCs w:val="24"/>
        </w:rPr>
        <w:t>Subpesca</w:t>
      </w:r>
      <w:proofErr w:type="spellEnd"/>
      <w:r>
        <w:rPr>
          <w:rFonts w:ascii="gobCL" w:hAnsi="gobCL"/>
          <w:b/>
          <w:color w:val="1F497D" w:themeColor="text2"/>
          <w:sz w:val="24"/>
          <w:szCs w:val="24"/>
        </w:rPr>
        <w:t xml:space="preserve"> para el efecto.</w:t>
      </w:r>
      <w:r w:rsidRPr="00560443" w:rsidDel="0030582F">
        <w:rPr>
          <w:rFonts w:ascii="gobCL" w:hAnsi="gobCL"/>
          <w:b/>
          <w:color w:val="1F497D" w:themeColor="text2"/>
          <w:sz w:val="24"/>
          <w:szCs w:val="24"/>
        </w:rPr>
        <w:t xml:space="preserve"> </w:t>
      </w:r>
      <w:r w:rsidR="007B3AB7" w:rsidRPr="00560443">
        <w:rPr>
          <w:rFonts w:ascii="gobCL" w:hAnsi="gobCL"/>
          <w:b/>
          <w:color w:val="1F497D" w:themeColor="text2"/>
          <w:sz w:val="24"/>
          <w:szCs w:val="24"/>
        </w:rPr>
        <w:t>.</w:t>
      </w:r>
    </w:p>
    <w:p w:rsidR="007E21B3" w:rsidRPr="00560443" w:rsidRDefault="007E21B3" w:rsidP="007E21B3">
      <w:pPr>
        <w:spacing w:line="240" w:lineRule="auto"/>
        <w:jc w:val="both"/>
        <w:rPr>
          <w:rFonts w:ascii="gobCL" w:hAnsi="gobCL"/>
          <w:sz w:val="24"/>
          <w:szCs w:val="24"/>
        </w:rPr>
      </w:pPr>
      <w:r w:rsidRPr="00560443">
        <w:rPr>
          <w:rFonts w:ascii="gobCL" w:hAnsi="gobCL"/>
          <w:sz w:val="24"/>
          <w:szCs w:val="24"/>
        </w:rPr>
        <w:t xml:space="preserve">46. </w:t>
      </w:r>
      <w:r w:rsidR="00687D61" w:rsidRPr="00560443">
        <w:rPr>
          <w:rFonts w:ascii="gobCL" w:hAnsi="gobCL"/>
          <w:sz w:val="24"/>
          <w:szCs w:val="24"/>
        </w:rPr>
        <w:tab/>
      </w:r>
      <w:r w:rsidRPr="00560443">
        <w:rPr>
          <w:rFonts w:ascii="gobCL" w:hAnsi="gobCL"/>
          <w:sz w:val="24"/>
          <w:szCs w:val="24"/>
        </w:rPr>
        <w:t>¿Por qué razón la garantía es el doble del valor del precio mínimo de la licitación?</w:t>
      </w:r>
    </w:p>
    <w:p w:rsidR="00966735" w:rsidRPr="00560443" w:rsidRDefault="00966735" w:rsidP="00687D61">
      <w:pPr>
        <w:autoSpaceDE w:val="0"/>
        <w:autoSpaceDN w:val="0"/>
        <w:spacing w:line="240" w:lineRule="auto"/>
        <w:ind w:left="708"/>
        <w:jc w:val="both"/>
        <w:rPr>
          <w:rFonts w:ascii="gobCL" w:hAnsi="gobCL"/>
          <w:b/>
          <w:color w:val="1F497D" w:themeColor="text2"/>
          <w:sz w:val="24"/>
          <w:szCs w:val="24"/>
        </w:rPr>
      </w:pPr>
      <w:r w:rsidRPr="00560443">
        <w:rPr>
          <w:rFonts w:ascii="gobCL" w:hAnsi="gobCL"/>
          <w:b/>
          <w:color w:val="1F497D" w:themeColor="text2"/>
          <w:sz w:val="24"/>
          <w:szCs w:val="24"/>
        </w:rPr>
        <w:t xml:space="preserve">De acuerdo con Informe Técnico N° 22-2017, </w:t>
      </w:r>
      <w:r w:rsidR="00560443">
        <w:rPr>
          <w:rFonts w:ascii="gobCL" w:hAnsi="gobCL"/>
          <w:b/>
          <w:color w:val="1F497D" w:themeColor="text2"/>
          <w:sz w:val="24"/>
          <w:szCs w:val="24"/>
        </w:rPr>
        <w:t xml:space="preserve">que sirvió de accedente para la elaboración de las bases administrativas respectivas, </w:t>
      </w:r>
      <w:r w:rsidRPr="00560443">
        <w:rPr>
          <w:rFonts w:ascii="gobCL" w:hAnsi="gobCL"/>
          <w:b/>
          <w:color w:val="1F497D" w:themeColor="text2"/>
          <w:sz w:val="24"/>
          <w:szCs w:val="24"/>
        </w:rPr>
        <w:t xml:space="preserve">el valor de la Garantía en $ (Pesos) corresponde a: (1/12) *1*Valor de Sanción vigente Jurel (UTM/ton) *Valor UTM diciembre 2017*ton lote. </w:t>
      </w:r>
    </w:p>
    <w:p w:rsidR="00966735" w:rsidRPr="00560443" w:rsidRDefault="00966735" w:rsidP="00687D61">
      <w:pPr>
        <w:pStyle w:val="Textonotapie"/>
        <w:ind w:left="708"/>
        <w:rPr>
          <w:rFonts w:ascii="gobCL" w:hAnsi="gobCL"/>
          <w:b/>
          <w:color w:val="1F497D" w:themeColor="text2"/>
          <w:sz w:val="24"/>
          <w:szCs w:val="24"/>
        </w:rPr>
      </w:pPr>
      <w:r w:rsidRPr="00560443">
        <w:rPr>
          <w:rFonts w:ascii="gobCL" w:hAnsi="gobCL"/>
          <w:b/>
          <w:color w:val="1F497D" w:themeColor="text2"/>
          <w:sz w:val="24"/>
          <w:szCs w:val="24"/>
        </w:rPr>
        <w:t>Mientras que para el Precio Mínimo la expresión es: 4,2%*Valor de Sanción vigente Jurel (UTM/ton) *Valor UTM diciembre 2017*ton lote.</w:t>
      </w:r>
    </w:p>
    <w:p w:rsidR="00966735" w:rsidRPr="00560443" w:rsidRDefault="00966735" w:rsidP="0013217D">
      <w:pPr>
        <w:autoSpaceDE w:val="0"/>
        <w:autoSpaceDN w:val="0"/>
        <w:spacing w:line="240" w:lineRule="auto"/>
        <w:jc w:val="both"/>
        <w:rPr>
          <w:rFonts w:ascii="gobCL" w:hAnsi="gobCL"/>
          <w:b/>
          <w:color w:val="1F497D" w:themeColor="text2"/>
          <w:sz w:val="24"/>
          <w:szCs w:val="24"/>
        </w:rPr>
      </w:pPr>
    </w:p>
    <w:p w:rsidR="00966735" w:rsidRPr="00560443" w:rsidRDefault="00966735" w:rsidP="00687D61">
      <w:pPr>
        <w:spacing w:line="240" w:lineRule="auto"/>
        <w:ind w:firstLine="708"/>
        <w:jc w:val="both"/>
        <w:rPr>
          <w:rFonts w:ascii="gobCL" w:hAnsi="gobCL"/>
          <w:b/>
          <w:color w:val="1F497D" w:themeColor="text2"/>
          <w:sz w:val="24"/>
          <w:szCs w:val="24"/>
        </w:rPr>
      </w:pPr>
      <w:r w:rsidRPr="00560443">
        <w:rPr>
          <w:rFonts w:ascii="gobCL" w:hAnsi="gobCL"/>
          <w:b/>
          <w:color w:val="1F497D" w:themeColor="text2"/>
          <w:sz w:val="24"/>
          <w:szCs w:val="24"/>
        </w:rPr>
        <w:t>Donde [(1/12)*1]/ (4,2%) = 1,98413</w:t>
      </w:r>
    </w:p>
    <w:p w:rsidR="00FC6D53" w:rsidRDefault="00FC6D53" w:rsidP="008B7C7A">
      <w:pPr>
        <w:spacing w:line="240" w:lineRule="auto"/>
        <w:ind w:left="708"/>
        <w:jc w:val="both"/>
        <w:rPr>
          <w:rFonts w:ascii="gobCL" w:hAnsi="gobCL"/>
          <w:b/>
          <w:color w:val="1F497D" w:themeColor="text2"/>
          <w:sz w:val="24"/>
          <w:szCs w:val="24"/>
        </w:rPr>
      </w:pPr>
    </w:p>
    <w:p w:rsidR="00FC6D53" w:rsidRDefault="00FC6D53" w:rsidP="008B7C7A">
      <w:pPr>
        <w:spacing w:line="240" w:lineRule="auto"/>
        <w:ind w:left="708"/>
        <w:jc w:val="both"/>
        <w:rPr>
          <w:rFonts w:ascii="gobCL" w:hAnsi="gobCL"/>
          <w:b/>
          <w:color w:val="1F497D" w:themeColor="text2"/>
          <w:sz w:val="24"/>
          <w:szCs w:val="24"/>
        </w:rPr>
      </w:pPr>
    </w:p>
    <w:p w:rsidR="00966735" w:rsidRPr="00560443" w:rsidRDefault="008B7C7A" w:rsidP="008B7C7A">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Es por esta razón</w:t>
      </w:r>
      <w:r w:rsidR="00966735" w:rsidRPr="00560443">
        <w:rPr>
          <w:rFonts w:ascii="gobCL" w:hAnsi="gobCL"/>
          <w:b/>
          <w:color w:val="1F497D" w:themeColor="text2"/>
          <w:sz w:val="24"/>
          <w:szCs w:val="24"/>
        </w:rPr>
        <w:t xml:space="preserve"> que </w:t>
      </w:r>
      <w:r>
        <w:rPr>
          <w:rFonts w:ascii="gobCL" w:hAnsi="gobCL"/>
          <w:b/>
          <w:color w:val="1F497D" w:themeColor="text2"/>
          <w:sz w:val="24"/>
          <w:szCs w:val="24"/>
        </w:rPr>
        <w:t xml:space="preserve">la </w:t>
      </w:r>
      <w:r w:rsidR="00966735" w:rsidRPr="00560443">
        <w:rPr>
          <w:rFonts w:ascii="gobCL" w:hAnsi="gobCL"/>
          <w:b/>
          <w:color w:val="1F497D" w:themeColor="text2"/>
          <w:sz w:val="24"/>
          <w:szCs w:val="24"/>
        </w:rPr>
        <w:t>Garantía es aproximadamente el doble del Precio Mínimo.</w:t>
      </w:r>
    </w:p>
    <w:p w:rsidR="00966735" w:rsidRPr="00560443" w:rsidRDefault="00966735" w:rsidP="00687D61">
      <w:pPr>
        <w:spacing w:line="240" w:lineRule="auto"/>
        <w:ind w:left="708"/>
        <w:jc w:val="both"/>
        <w:rPr>
          <w:rFonts w:ascii="gobCL" w:hAnsi="gobCL"/>
          <w:b/>
          <w:color w:val="1F497D" w:themeColor="text2"/>
          <w:sz w:val="24"/>
          <w:szCs w:val="24"/>
        </w:rPr>
      </w:pPr>
      <w:r w:rsidRPr="00560443">
        <w:rPr>
          <w:rFonts w:ascii="gobCL" w:hAnsi="gobCL"/>
          <w:b/>
          <w:color w:val="1F497D" w:themeColor="text2"/>
          <w:sz w:val="24"/>
          <w:szCs w:val="24"/>
        </w:rPr>
        <w:t>Cabe tener presente que el informe técnico ya se encuentra disponible en el siguiente enlace:</w:t>
      </w:r>
    </w:p>
    <w:p w:rsidR="00484681" w:rsidRPr="00560443" w:rsidRDefault="00FC6D53" w:rsidP="00687D61">
      <w:pPr>
        <w:spacing w:line="240" w:lineRule="auto"/>
        <w:ind w:firstLine="708"/>
        <w:jc w:val="both"/>
        <w:rPr>
          <w:rFonts w:ascii="gobCL" w:hAnsi="gobCL"/>
          <w:b/>
          <w:color w:val="1F497D" w:themeColor="text2"/>
          <w:sz w:val="24"/>
          <w:szCs w:val="24"/>
        </w:rPr>
      </w:pPr>
      <w:hyperlink r:id="rId9" w:history="1">
        <w:r w:rsidR="00966735" w:rsidRPr="00560443">
          <w:rPr>
            <w:rStyle w:val="Hipervnculo"/>
            <w:rFonts w:ascii="gobCL" w:hAnsi="gobCL"/>
            <w:b/>
            <w:color w:val="1F497D" w:themeColor="text2"/>
            <w:sz w:val="24"/>
            <w:szCs w:val="24"/>
          </w:rPr>
          <w:t>http://www.subpesca.cl/portal/616/w3-article-98842.html</w:t>
        </w:r>
      </w:hyperlink>
    </w:p>
    <w:p w:rsidR="007E21B3" w:rsidRPr="00560443" w:rsidRDefault="007E21B3" w:rsidP="00687D61">
      <w:pPr>
        <w:spacing w:line="240" w:lineRule="auto"/>
        <w:ind w:left="705" w:hanging="705"/>
        <w:jc w:val="both"/>
        <w:rPr>
          <w:rFonts w:ascii="gobCL" w:hAnsi="gobCL"/>
          <w:sz w:val="24"/>
          <w:szCs w:val="24"/>
        </w:rPr>
      </w:pPr>
      <w:r w:rsidRPr="00560443">
        <w:rPr>
          <w:rFonts w:ascii="gobCL" w:hAnsi="gobCL"/>
          <w:sz w:val="24"/>
          <w:szCs w:val="24"/>
        </w:rPr>
        <w:t xml:space="preserve">47. </w:t>
      </w:r>
      <w:r w:rsidR="00687D61" w:rsidRPr="00560443">
        <w:rPr>
          <w:rFonts w:ascii="gobCL" w:hAnsi="gobCL"/>
          <w:sz w:val="24"/>
          <w:szCs w:val="24"/>
        </w:rPr>
        <w:tab/>
      </w:r>
      <w:r w:rsidRPr="00560443">
        <w:rPr>
          <w:rFonts w:ascii="gobCL" w:hAnsi="gobCL"/>
          <w:sz w:val="24"/>
          <w:szCs w:val="24"/>
        </w:rPr>
        <w:t>Si uno de los objetivos de abrir el mercado pesquero industrial, ¿Por qué razón, se exige que los oferentes que adjudiquen LTP</w:t>
      </w:r>
      <w:r w:rsidR="00484681" w:rsidRPr="00560443">
        <w:rPr>
          <w:rFonts w:ascii="gobCL" w:hAnsi="gobCL"/>
          <w:sz w:val="24"/>
          <w:szCs w:val="24"/>
        </w:rPr>
        <w:t xml:space="preserve"> </w:t>
      </w:r>
      <w:r w:rsidRPr="00560443">
        <w:rPr>
          <w:rFonts w:ascii="gobCL" w:hAnsi="gobCL"/>
          <w:sz w:val="24"/>
          <w:szCs w:val="24"/>
        </w:rPr>
        <w:t>B de Jurel, sólo puedan realizar la captura de esta especie una vez que obtengan LTP</w:t>
      </w:r>
      <w:r w:rsidR="00484681" w:rsidRPr="00560443">
        <w:rPr>
          <w:rFonts w:ascii="gobCL" w:hAnsi="gobCL"/>
          <w:sz w:val="24"/>
          <w:szCs w:val="24"/>
        </w:rPr>
        <w:t xml:space="preserve"> </w:t>
      </w:r>
      <w:r w:rsidRPr="00560443">
        <w:rPr>
          <w:rFonts w:ascii="gobCL" w:hAnsi="gobCL"/>
          <w:sz w:val="24"/>
          <w:szCs w:val="24"/>
        </w:rPr>
        <w:t>A de las especies asociadas, en virtud de la resolución 3200?</w:t>
      </w:r>
    </w:p>
    <w:p w:rsidR="00484681" w:rsidRPr="00560443" w:rsidRDefault="00687D61" w:rsidP="00687D61">
      <w:pPr>
        <w:spacing w:line="240" w:lineRule="auto"/>
        <w:ind w:firstLine="705"/>
        <w:jc w:val="both"/>
        <w:rPr>
          <w:rFonts w:ascii="gobCL" w:hAnsi="gobCL"/>
          <w:b/>
          <w:color w:val="1F497D" w:themeColor="text2"/>
          <w:sz w:val="24"/>
          <w:szCs w:val="24"/>
        </w:rPr>
      </w:pPr>
      <w:r w:rsidRPr="00560443">
        <w:rPr>
          <w:rFonts w:ascii="gobCL" w:hAnsi="gobCL"/>
          <w:b/>
          <w:color w:val="1F497D" w:themeColor="text2"/>
          <w:sz w:val="24"/>
          <w:szCs w:val="24"/>
        </w:rPr>
        <w:t>En su requisito</w:t>
      </w:r>
      <w:r w:rsidR="00FC6D53">
        <w:rPr>
          <w:rFonts w:ascii="gobCL" w:hAnsi="gobCL"/>
          <w:b/>
          <w:color w:val="1F497D" w:themeColor="text2"/>
          <w:sz w:val="24"/>
          <w:szCs w:val="24"/>
        </w:rPr>
        <w:t xml:space="preserve"> </w:t>
      </w:r>
      <w:r w:rsidR="0030582F">
        <w:rPr>
          <w:rFonts w:ascii="gobCL" w:hAnsi="gobCL"/>
          <w:b/>
          <w:color w:val="1F497D" w:themeColor="text2"/>
          <w:sz w:val="24"/>
          <w:szCs w:val="24"/>
        </w:rPr>
        <w:t>legal</w:t>
      </w:r>
      <w:r w:rsidRPr="00560443">
        <w:rPr>
          <w:rFonts w:ascii="gobCL" w:hAnsi="gobCL"/>
          <w:b/>
          <w:color w:val="1F497D" w:themeColor="text2"/>
          <w:sz w:val="24"/>
          <w:szCs w:val="24"/>
        </w:rPr>
        <w:t>, establecido en el artículo 33 de la LGPA.</w:t>
      </w:r>
    </w:p>
    <w:p w:rsidR="007E21B3" w:rsidRPr="00560443" w:rsidRDefault="007E21B3" w:rsidP="00687D61">
      <w:pPr>
        <w:spacing w:line="240" w:lineRule="auto"/>
        <w:ind w:left="705" w:hanging="705"/>
        <w:jc w:val="both"/>
        <w:rPr>
          <w:rFonts w:ascii="gobCL" w:hAnsi="gobCL"/>
          <w:sz w:val="24"/>
          <w:szCs w:val="24"/>
        </w:rPr>
      </w:pPr>
      <w:r w:rsidRPr="00560443">
        <w:rPr>
          <w:rFonts w:ascii="gobCL" w:hAnsi="gobCL"/>
          <w:sz w:val="24"/>
          <w:szCs w:val="24"/>
        </w:rPr>
        <w:t xml:space="preserve">48. </w:t>
      </w:r>
      <w:r w:rsidR="00687D61" w:rsidRPr="00560443">
        <w:rPr>
          <w:rFonts w:ascii="gobCL" w:hAnsi="gobCL"/>
          <w:sz w:val="24"/>
          <w:szCs w:val="24"/>
        </w:rPr>
        <w:tab/>
        <w:t>¿Qué ocurrirá si un</w:t>
      </w:r>
      <w:r w:rsidRPr="00560443">
        <w:rPr>
          <w:rFonts w:ascii="gobCL" w:hAnsi="gobCL"/>
          <w:sz w:val="24"/>
          <w:szCs w:val="24"/>
        </w:rPr>
        <w:t xml:space="preserve"> adjudicatario no consigue comprar o arrendar LTPA, considerando que estas están en manos única y exclusivamente de las empresas que obtuvieron como derecho histórico esas especies durante la tramitación de la ley de pesca?</w:t>
      </w:r>
    </w:p>
    <w:p w:rsidR="00687D61" w:rsidRPr="00560443" w:rsidRDefault="00687D61" w:rsidP="00687D61">
      <w:pPr>
        <w:spacing w:line="240" w:lineRule="auto"/>
        <w:ind w:left="705"/>
        <w:jc w:val="both"/>
        <w:rPr>
          <w:rFonts w:ascii="gobCL" w:hAnsi="gobCL"/>
          <w:sz w:val="24"/>
          <w:szCs w:val="24"/>
        </w:rPr>
      </w:pPr>
      <w:r w:rsidRPr="00560443">
        <w:rPr>
          <w:rFonts w:ascii="gobCL" w:hAnsi="gobCL"/>
          <w:b/>
          <w:color w:val="1F497D" w:themeColor="text2"/>
          <w:sz w:val="24"/>
          <w:szCs w:val="24"/>
        </w:rPr>
        <w:t>No podrá operativizar la misma, sin perjuicio de que puede celebrar todo tipo de negocios jurídicos de conformidad con el artículo 30 de la LGPA</w:t>
      </w:r>
      <w:r w:rsidRPr="00560443">
        <w:rPr>
          <w:rFonts w:ascii="gobCL" w:hAnsi="gobCL"/>
          <w:sz w:val="24"/>
          <w:szCs w:val="24"/>
        </w:rPr>
        <w:t>.</w:t>
      </w:r>
    </w:p>
    <w:p w:rsidR="007E21B3" w:rsidRPr="00560443" w:rsidRDefault="007E21B3" w:rsidP="00687D61">
      <w:pPr>
        <w:spacing w:line="240" w:lineRule="auto"/>
        <w:ind w:left="705" w:hanging="705"/>
        <w:jc w:val="both"/>
        <w:rPr>
          <w:rFonts w:ascii="gobCL" w:hAnsi="gobCL"/>
          <w:sz w:val="24"/>
          <w:szCs w:val="24"/>
        </w:rPr>
      </w:pPr>
      <w:r w:rsidRPr="00560443">
        <w:rPr>
          <w:rFonts w:ascii="gobCL" w:hAnsi="gobCL"/>
          <w:sz w:val="24"/>
          <w:szCs w:val="24"/>
        </w:rPr>
        <w:t xml:space="preserve">49.  </w:t>
      </w:r>
      <w:r w:rsidR="00687D61" w:rsidRPr="00560443">
        <w:rPr>
          <w:rFonts w:ascii="gobCL" w:hAnsi="gobCL"/>
          <w:sz w:val="24"/>
          <w:szCs w:val="24"/>
        </w:rPr>
        <w:tab/>
      </w:r>
      <w:r w:rsidRPr="00560443">
        <w:rPr>
          <w:rFonts w:ascii="gobCL" w:hAnsi="gobCL"/>
          <w:sz w:val="24"/>
          <w:szCs w:val="24"/>
        </w:rPr>
        <w:t>¿Consideran alguna solución administrativa o reforma legal para permitir que aquellos adjudicatarios puedan conseguir LTPA de las especies asociadas, requisito legal para poder efectuar el esfuerzo pesquero?</w:t>
      </w:r>
    </w:p>
    <w:p w:rsidR="00687D61" w:rsidRPr="00560443" w:rsidRDefault="00687D61" w:rsidP="00687D61">
      <w:pPr>
        <w:spacing w:line="240" w:lineRule="auto"/>
        <w:ind w:left="705"/>
        <w:jc w:val="both"/>
        <w:rPr>
          <w:rFonts w:ascii="gobCL" w:hAnsi="gobCL"/>
          <w:b/>
          <w:color w:val="1F497D" w:themeColor="text2"/>
          <w:sz w:val="24"/>
          <w:szCs w:val="24"/>
        </w:rPr>
      </w:pPr>
      <w:r w:rsidRPr="00560443">
        <w:rPr>
          <w:rFonts w:ascii="gobCL" w:hAnsi="gobCL"/>
          <w:b/>
          <w:color w:val="1F497D" w:themeColor="text2"/>
          <w:sz w:val="24"/>
          <w:szCs w:val="24"/>
        </w:rPr>
        <w:t>Se aplica la normativa pesquera vigente.</w:t>
      </w:r>
    </w:p>
    <w:p w:rsidR="007E21B3" w:rsidRPr="00560443" w:rsidRDefault="007E21B3" w:rsidP="00687D61">
      <w:pPr>
        <w:spacing w:line="240" w:lineRule="auto"/>
        <w:ind w:left="705" w:hanging="705"/>
        <w:jc w:val="both"/>
        <w:rPr>
          <w:rFonts w:ascii="gobCL" w:hAnsi="gobCL"/>
          <w:sz w:val="24"/>
          <w:szCs w:val="24"/>
        </w:rPr>
      </w:pPr>
      <w:r w:rsidRPr="00560443">
        <w:rPr>
          <w:rFonts w:ascii="gobCL" w:hAnsi="gobCL"/>
          <w:sz w:val="24"/>
          <w:szCs w:val="24"/>
        </w:rPr>
        <w:t xml:space="preserve">50. </w:t>
      </w:r>
      <w:r w:rsidR="00687D61" w:rsidRPr="00560443">
        <w:rPr>
          <w:rFonts w:ascii="gobCL" w:hAnsi="gobCL"/>
          <w:sz w:val="24"/>
          <w:szCs w:val="24"/>
        </w:rPr>
        <w:tab/>
      </w:r>
      <w:r w:rsidRPr="00560443">
        <w:rPr>
          <w:rFonts w:ascii="gobCL" w:hAnsi="gobCL"/>
          <w:sz w:val="24"/>
          <w:szCs w:val="24"/>
        </w:rPr>
        <w:t>¿Qué ocurrirá si los adjudicatarios de jurel, no pueden obtener licencias de especies asociadas durante la temporada, se les devolverá el dinero pagado en la licitación o deberán pagar a todo evento?</w:t>
      </w:r>
    </w:p>
    <w:p w:rsidR="00560443" w:rsidRDefault="00B74F7E" w:rsidP="00FC6D53">
      <w:pPr>
        <w:spacing w:line="240" w:lineRule="auto"/>
        <w:ind w:left="705"/>
        <w:jc w:val="both"/>
        <w:rPr>
          <w:rFonts w:ascii="gobCL" w:hAnsi="gobCL"/>
          <w:b/>
          <w:color w:val="1F497D" w:themeColor="text2"/>
          <w:sz w:val="24"/>
          <w:szCs w:val="24"/>
        </w:rPr>
      </w:pPr>
      <w:r w:rsidRPr="00FC6D53">
        <w:rPr>
          <w:rFonts w:ascii="gobCL" w:hAnsi="gobCL"/>
          <w:b/>
          <w:color w:val="1F497D" w:themeColor="text2"/>
          <w:sz w:val="24"/>
          <w:szCs w:val="24"/>
        </w:rPr>
        <w:t>No, se deberá pagar a todo evento.</w:t>
      </w:r>
      <w:r w:rsidR="00687D61" w:rsidRPr="00FC6D53">
        <w:rPr>
          <w:rFonts w:ascii="gobCL" w:hAnsi="gobCL"/>
          <w:b/>
          <w:color w:val="1F497D" w:themeColor="text2"/>
          <w:sz w:val="24"/>
          <w:szCs w:val="24"/>
        </w:rPr>
        <w:tab/>
      </w:r>
    </w:p>
    <w:p w:rsidR="00FC6D53" w:rsidRDefault="00FC6D53" w:rsidP="00FC6D53">
      <w:pPr>
        <w:spacing w:line="240" w:lineRule="auto"/>
        <w:ind w:left="705"/>
        <w:jc w:val="both"/>
        <w:rPr>
          <w:rFonts w:ascii="gobCL" w:hAnsi="gobCL"/>
          <w:b/>
          <w:color w:val="1F497D" w:themeColor="text2"/>
          <w:sz w:val="24"/>
          <w:szCs w:val="24"/>
        </w:rPr>
      </w:pPr>
    </w:p>
    <w:p w:rsidR="00FC6D53" w:rsidRDefault="00FC6D53" w:rsidP="00FC6D53">
      <w:pPr>
        <w:spacing w:line="240" w:lineRule="auto"/>
        <w:ind w:left="705"/>
        <w:jc w:val="both"/>
        <w:rPr>
          <w:rFonts w:ascii="gobCL" w:hAnsi="gobCL"/>
          <w:b/>
          <w:color w:val="1F497D" w:themeColor="text2"/>
          <w:sz w:val="24"/>
          <w:szCs w:val="24"/>
        </w:rPr>
      </w:pPr>
    </w:p>
    <w:p w:rsidR="00FC6D53" w:rsidRPr="00FC6D53" w:rsidRDefault="00FC6D53" w:rsidP="00FC6D53">
      <w:pPr>
        <w:spacing w:line="240" w:lineRule="auto"/>
        <w:ind w:left="705"/>
        <w:jc w:val="both"/>
        <w:rPr>
          <w:rFonts w:ascii="gobCL" w:hAnsi="gobCL"/>
          <w:b/>
          <w:color w:val="1F497D" w:themeColor="text2"/>
          <w:sz w:val="24"/>
          <w:szCs w:val="24"/>
        </w:rPr>
      </w:pPr>
    </w:p>
    <w:p w:rsidR="007E21B3" w:rsidRPr="00560443" w:rsidRDefault="00560443" w:rsidP="00687D61">
      <w:pPr>
        <w:spacing w:line="240" w:lineRule="auto"/>
        <w:ind w:left="705" w:hanging="705"/>
        <w:jc w:val="both"/>
        <w:rPr>
          <w:rFonts w:ascii="gobCL" w:hAnsi="gobCL"/>
          <w:sz w:val="24"/>
          <w:szCs w:val="24"/>
        </w:rPr>
      </w:pPr>
      <w:r>
        <w:rPr>
          <w:rFonts w:ascii="gobCL" w:hAnsi="gobCL"/>
          <w:sz w:val="24"/>
          <w:szCs w:val="24"/>
        </w:rPr>
        <w:lastRenderedPageBreak/>
        <w:t>51.</w:t>
      </w:r>
      <w:r>
        <w:rPr>
          <w:rFonts w:ascii="gobCL" w:hAnsi="gobCL"/>
          <w:sz w:val="24"/>
          <w:szCs w:val="24"/>
        </w:rPr>
        <w:tab/>
      </w:r>
      <w:r w:rsidR="007E21B3" w:rsidRPr="00560443">
        <w:rPr>
          <w:rFonts w:ascii="gobCL" w:hAnsi="gobCL"/>
          <w:sz w:val="24"/>
          <w:szCs w:val="24"/>
        </w:rPr>
        <w:t xml:space="preserve">¿Respecto a la pregunta anterior, considera la Subsecretaría y el Ministerio de Economía, que exigir Licencias transables de especies asociadas (De las que únicamente gozan los actuales </w:t>
      </w:r>
      <w:proofErr w:type="spellStart"/>
      <w:r w:rsidR="007E21B3" w:rsidRPr="00560443">
        <w:rPr>
          <w:rFonts w:ascii="gobCL" w:hAnsi="gobCL"/>
          <w:sz w:val="24"/>
          <w:szCs w:val="24"/>
        </w:rPr>
        <w:t>incumbentes</w:t>
      </w:r>
      <w:proofErr w:type="spellEnd"/>
      <w:r w:rsidR="007E21B3" w:rsidRPr="00560443">
        <w:rPr>
          <w:rFonts w:ascii="gobCL" w:hAnsi="gobCL"/>
          <w:sz w:val="24"/>
          <w:szCs w:val="24"/>
        </w:rPr>
        <w:t xml:space="preserve"> pesqueros y no nuevos actores) es una barrera de entrada que puede llevar esta licitación a ser inoperante para aquellos nuevos actores que no</w:t>
      </w:r>
      <w:r w:rsidR="00687D61" w:rsidRPr="00560443">
        <w:rPr>
          <w:rFonts w:ascii="gobCL" w:hAnsi="gobCL"/>
          <w:sz w:val="24"/>
          <w:szCs w:val="24"/>
        </w:rPr>
        <w:t xml:space="preserve"> pertenecen al sector pesquero?</w:t>
      </w:r>
    </w:p>
    <w:p w:rsidR="00687D61" w:rsidRPr="00560443" w:rsidRDefault="00687D61" w:rsidP="00687D61">
      <w:pPr>
        <w:spacing w:line="240" w:lineRule="auto"/>
        <w:ind w:left="705"/>
        <w:jc w:val="both"/>
        <w:rPr>
          <w:rFonts w:ascii="gobCL" w:hAnsi="gobCL"/>
          <w:b/>
          <w:color w:val="1F497D" w:themeColor="text2"/>
          <w:sz w:val="24"/>
          <w:szCs w:val="24"/>
        </w:rPr>
      </w:pPr>
      <w:r w:rsidRPr="00560443">
        <w:rPr>
          <w:rFonts w:ascii="gobCL" w:hAnsi="gobCL"/>
          <w:b/>
          <w:color w:val="1F497D" w:themeColor="text2"/>
          <w:sz w:val="24"/>
          <w:szCs w:val="24"/>
        </w:rPr>
        <w:t>Es la normativa pesquera vigente</w:t>
      </w:r>
      <w:r w:rsidR="003A25D9" w:rsidRPr="00560443">
        <w:rPr>
          <w:rFonts w:ascii="gobCL" w:hAnsi="gobCL"/>
          <w:b/>
          <w:color w:val="1F497D" w:themeColor="text2"/>
          <w:sz w:val="24"/>
          <w:szCs w:val="24"/>
        </w:rPr>
        <w:t xml:space="preserve"> que rige a los titulares de licencias transables de pesca.</w:t>
      </w:r>
    </w:p>
    <w:p w:rsidR="002D45B2" w:rsidRPr="00560443" w:rsidRDefault="002D45B2" w:rsidP="007E21B3">
      <w:pPr>
        <w:spacing w:after="75" w:line="240" w:lineRule="auto"/>
        <w:jc w:val="both"/>
        <w:rPr>
          <w:rFonts w:ascii="gobCL" w:hAnsi="gobCL"/>
          <w:sz w:val="24"/>
          <w:szCs w:val="24"/>
        </w:rPr>
      </w:pPr>
    </w:p>
    <w:p w:rsidR="007E21B3" w:rsidRPr="00560443" w:rsidRDefault="007E21B3" w:rsidP="003A25D9">
      <w:pPr>
        <w:pStyle w:val="Textosinformato"/>
        <w:ind w:left="705" w:hanging="705"/>
        <w:jc w:val="both"/>
        <w:rPr>
          <w:rFonts w:ascii="gobCL" w:hAnsi="gobCL"/>
          <w:sz w:val="24"/>
          <w:szCs w:val="24"/>
        </w:rPr>
      </w:pPr>
      <w:r w:rsidRPr="00560443">
        <w:rPr>
          <w:rFonts w:ascii="gobCL" w:hAnsi="gobCL"/>
          <w:sz w:val="24"/>
          <w:szCs w:val="24"/>
        </w:rPr>
        <w:t>5</w:t>
      </w:r>
      <w:r w:rsidR="00560443">
        <w:rPr>
          <w:rFonts w:ascii="gobCL" w:hAnsi="gobCL"/>
          <w:sz w:val="24"/>
          <w:szCs w:val="24"/>
        </w:rPr>
        <w:t>2</w:t>
      </w:r>
      <w:r w:rsidRPr="00560443">
        <w:rPr>
          <w:rFonts w:ascii="gobCL" w:hAnsi="gobCL"/>
          <w:sz w:val="24"/>
          <w:szCs w:val="24"/>
        </w:rPr>
        <w:t xml:space="preserve">. </w:t>
      </w:r>
      <w:r w:rsidR="00687D61" w:rsidRPr="00560443">
        <w:rPr>
          <w:rFonts w:ascii="gobCL" w:hAnsi="gobCL"/>
          <w:sz w:val="24"/>
          <w:szCs w:val="24"/>
        </w:rPr>
        <w:tab/>
      </w:r>
      <w:r w:rsidR="003A25D9" w:rsidRPr="00560443">
        <w:rPr>
          <w:rFonts w:ascii="gobCL" w:hAnsi="gobCL"/>
          <w:sz w:val="24"/>
          <w:szCs w:val="24"/>
        </w:rPr>
        <w:t>Necesito</w:t>
      </w:r>
      <w:r w:rsidRPr="00560443">
        <w:rPr>
          <w:rFonts w:ascii="gobCL" w:hAnsi="gobCL"/>
          <w:sz w:val="24"/>
          <w:szCs w:val="24"/>
        </w:rPr>
        <w:t xml:space="preserve"> por favor información para postular a la pesca de jurel bases licitación año 2018, ya teniendo algo previo con la resolución para postular hasta el día 12 de diciembre necesito saber cuál es la documentación necesaria para el sobre número 1.</w:t>
      </w:r>
      <w:r w:rsidR="003A25D9" w:rsidRPr="00560443">
        <w:rPr>
          <w:rFonts w:ascii="gobCL" w:hAnsi="gobCL"/>
          <w:sz w:val="24"/>
          <w:szCs w:val="24"/>
        </w:rPr>
        <w:t xml:space="preserve"> </w:t>
      </w:r>
      <w:r w:rsidRPr="00560443">
        <w:rPr>
          <w:rFonts w:ascii="gobCL" w:hAnsi="gobCL"/>
          <w:sz w:val="24"/>
          <w:szCs w:val="24"/>
        </w:rPr>
        <w:t xml:space="preserve">Y si el mismo día hay que presentar la garantía de algún lote a postular de </w:t>
      </w:r>
      <w:r w:rsidR="003A25D9" w:rsidRPr="00560443">
        <w:rPr>
          <w:rFonts w:ascii="gobCL" w:hAnsi="gobCL"/>
          <w:sz w:val="24"/>
          <w:szCs w:val="24"/>
        </w:rPr>
        <w:t>qué</w:t>
      </w:r>
      <w:r w:rsidRPr="00560443">
        <w:rPr>
          <w:rFonts w:ascii="gobCL" w:hAnsi="gobCL"/>
          <w:sz w:val="24"/>
          <w:szCs w:val="24"/>
        </w:rPr>
        <w:t xml:space="preserve"> manera y a quien va dirigido el documento de garantía (que puede ser vale vista me imagino).</w:t>
      </w:r>
    </w:p>
    <w:p w:rsidR="003A25D9" w:rsidRPr="00560443" w:rsidRDefault="003A25D9" w:rsidP="003A25D9">
      <w:pPr>
        <w:pStyle w:val="Textosinformato"/>
        <w:ind w:left="705" w:hanging="705"/>
        <w:jc w:val="both"/>
        <w:rPr>
          <w:rFonts w:ascii="gobCL" w:hAnsi="gobCL"/>
          <w:sz w:val="24"/>
          <w:szCs w:val="24"/>
        </w:rPr>
      </w:pPr>
    </w:p>
    <w:p w:rsidR="003A25D9" w:rsidRPr="00560443" w:rsidRDefault="003A25D9" w:rsidP="003A25D9">
      <w:pPr>
        <w:pStyle w:val="Textosinformato"/>
        <w:ind w:left="705"/>
        <w:jc w:val="both"/>
        <w:rPr>
          <w:rFonts w:ascii="gobCL" w:hAnsi="gobCL"/>
          <w:b/>
          <w:color w:val="1F497D" w:themeColor="text2"/>
          <w:sz w:val="24"/>
          <w:szCs w:val="24"/>
        </w:rPr>
      </w:pPr>
      <w:r w:rsidRPr="00560443">
        <w:rPr>
          <w:rFonts w:ascii="gobCL" w:hAnsi="gobCL"/>
          <w:b/>
          <w:color w:val="1F497D" w:themeColor="text2"/>
          <w:sz w:val="24"/>
          <w:szCs w:val="24"/>
        </w:rPr>
        <w:t>Remitirse a los puntos 6 y 8 de las bases respectivas.</w:t>
      </w:r>
    </w:p>
    <w:p w:rsidR="007E21B3" w:rsidRPr="00560443" w:rsidRDefault="007E21B3" w:rsidP="007E21B3">
      <w:pPr>
        <w:pStyle w:val="Textosinformato"/>
        <w:jc w:val="both"/>
        <w:rPr>
          <w:rFonts w:ascii="gobCL" w:hAnsi="gobCL"/>
          <w:sz w:val="24"/>
          <w:szCs w:val="24"/>
        </w:rPr>
      </w:pPr>
    </w:p>
    <w:p w:rsidR="007E21B3" w:rsidRPr="00560443" w:rsidRDefault="007E21B3" w:rsidP="003A25D9">
      <w:pPr>
        <w:spacing w:line="240" w:lineRule="auto"/>
        <w:ind w:left="705" w:hanging="705"/>
        <w:jc w:val="both"/>
        <w:rPr>
          <w:rFonts w:ascii="gobCL" w:hAnsi="gobCL"/>
          <w:sz w:val="24"/>
          <w:szCs w:val="24"/>
        </w:rPr>
      </w:pPr>
      <w:r w:rsidRPr="00560443">
        <w:rPr>
          <w:rFonts w:ascii="gobCL" w:hAnsi="gobCL"/>
          <w:sz w:val="24"/>
          <w:szCs w:val="24"/>
        </w:rPr>
        <w:t>5</w:t>
      </w:r>
      <w:r w:rsidR="00560443">
        <w:rPr>
          <w:rFonts w:ascii="gobCL" w:hAnsi="gobCL"/>
          <w:sz w:val="24"/>
          <w:szCs w:val="24"/>
        </w:rPr>
        <w:t>3</w:t>
      </w:r>
      <w:r w:rsidRPr="00560443">
        <w:rPr>
          <w:rFonts w:ascii="gobCL" w:hAnsi="gobCL"/>
          <w:sz w:val="24"/>
          <w:szCs w:val="24"/>
        </w:rPr>
        <w:t xml:space="preserve">. </w:t>
      </w:r>
      <w:r w:rsidR="003A25D9" w:rsidRPr="00560443">
        <w:rPr>
          <w:rFonts w:ascii="gobCL" w:hAnsi="gobCL"/>
          <w:sz w:val="24"/>
          <w:szCs w:val="24"/>
        </w:rPr>
        <w:tab/>
      </w:r>
      <w:r w:rsidRPr="00560443">
        <w:rPr>
          <w:rFonts w:ascii="gobCL" w:hAnsi="gobCL"/>
          <w:sz w:val="24"/>
          <w:szCs w:val="24"/>
        </w:rPr>
        <w:t>Qué ocurre con el pago de la LTPB en el segundo año o sucesivos, en caso de que el recurso entre en veda o por algún evento el recurso colapse o desaparezca</w:t>
      </w:r>
      <w:proofErr w:type="gramStart"/>
      <w:r w:rsidRPr="00560443">
        <w:rPr>
          <w:rFonts w:ascii="gobCL" w:hAnsi="gobCL"/>
          <w:sz w:val="24"/>
          <w:szCs w:val="24"/>
        </w:rPr>
        <w:t>?</w:t>
      </w:r>
      <w:proofErr w:type="gramEnd"/>
      <w:r w:rsidRPr="00560443">
        <w:rPr>
          <w:rFonts w:ascii="gobCL" w:hAnsi="gobCL"/>
          <w:sz w:val="24"/>
          <w:szCs w:val="24"/>
        </w:rPr>
        <w:t xml:space="preserve"> ¿</w:t>
      </w:r>
      <w:proofErr w:type="gramStart"/>
      <w:r w:rsidRPr="00560443">
        <w:rPr>
          <w:rFonts w:ascii="gobCL" w:hAnsi="gobCL"/>
          <w:sz w:val="24"/>
          <w:szCs w:val="24"/>
        </w:rPr>
        <w:t>se</w:t>
      </w:r>
      <w:proofErr w:type="gramEnd"/>
      <w:r w:rsidRPr="00560443">
        <w:rPr>
          <w:rFonts w:ascii="gobCL" w:hAnsi="gobCL"/>
          <w:sz w:val="24"/>
          <w:szCs w:val="24"/>
        </w:rPr>
        <w:t xml:space="preserve"> paga a todo evento la LTPB?</w:t>
      </w:r>
    </w:p>
    <w:p w:rsidR="003A25D9" w:rsidRPr="00560443" w:rsidRDefault="003A25D9" w:rsidP="003A25D9">
      <w:pPr>
        <w:spacing w:line="240" w:lineRule="auto"/>
        <w:ind w:left="705"/>
        <w:jc w:val="both"/>
        <w:rPr>
          <w:rFonts w:ascii="gobCL" w:hAnsi="gobCL"/>
          <w:b/>
          <w:color w:val="1F497D" w:themeColor="text2"/>
          <w:sz w:val="24"/>
          <w:szCs w:val="24"/>
        </w:rPr>
      </w:pPr>
      <w:r w:rsidRPr="00560443">
        <w:rPr>
          <w:rFonts w:ascii="gobCL" w:hAnsi="gobCL"/>
          <w:b/>
          <w:color w:val="1F497D" w:themeColor="text2"/>
          <w:sz w:val="24"/>
          <w:szCs w:val="24"/>
        </w:rPr>
        <w:t>No existe una norma legal ni reglamentaria</w:t>
      </w:r>
      <w:r w:rsidR="008B7C7A">
        <w:rPr>
          <w:rFonts w:ascii="gobCL" w:hAnsi="gobCL"/>
          <w:b/>
          <w:color w:val="1F497D" w:themeColor="text2"/>
          <w:sz w:val="24"/>
          <w:szCs w:val="24"/>
        </w:rPr>
        <w:t xml:space="preserve"> actual,</w:t>
      </w:r>
      <w:r w:rsidRPr="00560443">
        <w:rPr>
          <w:rFonts w:ascii="gobCL" w:hAnsi="gobCL"/>
          <w:b/>
          <w:color w:val="1F497D" w:themeColor="text2"/>
          <w:sz w:val="24"/>
          <w:szCs w:val="24"/>
        </w:rPr>
        <w:t xml:space="preserve"> que exima el pago de la anualidad de las licencias transables de pesca clase B</w:t>
      </w:r>
      <w:r w:rsidR="00B74F7E">
        <w:rPr>
          <w:rFonts w:ascii="gobCL" w:hAnsi="gobCL"/>
          <w:b/>
          <w:color w:val="1F497D" w:themeColor="text2"/>
          <w:sz w:val="24"/>
          <w:szCs w:val="24"/>
        </w:rPr>
        <w:t>, no obstante cabe destacar que el pago de las LTP B corresponde a un guarismo UTM/t año, el que se aplica sobre la cuota anual, monto total que dependerá del porcentaje adjudicado y la cuota de cada año.</w:t>
      </w:r>
    </w:p>
    <w:p w:rsidR="007E21B3" w:rsidRPr="00560443" w:rsidRDefault="007E21B3" w:rsidP="007E21B3">
      <w:pPr>
        <w:spacing w:line="240" w:lineRule="auto"/>
        <w:jc w:val="both"/>
        <w:rPr>
          <w:rFonts w:ascii="gobCL" w:hAnsi="gobCL"/>
          <w:sz w:val="24"/>
          <w:szCs w:val="24"/>
        </w:rPr>
      </w:pPr>
    </w:p>
    <w:p w:rsidR="007E21B3" w:rsidRPr="00560443" w:rsidRDefault="00560443" w:rsidP="003A25D9">
      <w:pPr>
        <w:spacing w:line="240" w:lineRule="auto"/>
        <w:ind w:left="705" w:hanging="705"/>
        <w:jc w:val="both"/>
        <w:rPr>
          <w:rFonts w:ascii="gobCL" w:hAnsi="gobCL"/>
          <w:sz w:val="24"/>
          <w:szCs w:val="24"/>
        </w:rPr>
      </w:pPr>
      <w:r>
        <w:rPr>
          <w:rFonts w:ascii="gobCL" w:hAnsi="gobCL"/>
          <w:sz w:val="24"/>
          <w:szCs w:val="24"/>
        </w:rPr>
        <w:t>54.</w:t>
      </w:r>
      <w:r w:rsidR="007E21B3" w:rsidRPr="00560443">
        <w:rPr>
          <w:rFonts w:ascii="gobCL" w:hAnsi="gobCL"/>
          <w:sz w:val="24"/>
          <w:szCs w:val="24"/>
        </w:rPr>
        <w:t xml:space="preserve"> </w:t>
      </w:r>
      <w:r w:rsidR="003A25D9" w:rsidRPr="00560443">
        <w:rPr>
          <w:rFonts w:ascii="gobCL" w:hAnsi="gobCL"/>
          <w:sz w:val="24"/>
          <w:szCs w:val="24"/>
        </w:rPr>
        <w:tab/>
      </w:r>
      <w:r w:rsidR="007E21B3" w:rsidRPr="00560443">
        <w:rPr>
          <w:rFonts w:ascii="gobCL" w:hAnsi="gobCL"/>
          <w:sz w:val="24"/>
          <w:szCs w:val="24"/>
        </w:rPr>
        <w:t>¿En caso de que las especies adjudicadas a través de la LTPB no pueda ser capturada, el pago se realiza a todo evento?</w:t>
      </w:r>
    </w:p>
    <w:p w:rsidR="003A25D9" w:rsidRPr="00560443" w:rsidRDefault="00FC6D53" w:rsidP="003A25D9">
      <w:pPr>
        <w:spacing w:line="240" w:lineRule="auto"/>
        <w:ind w:left="705"/>
        <w:jc w:val="both"/>
        <w:rPr>
          <w:rFonts w:ascii="gobCL" w:hAnsi="gobCL"/>
          <w:b/>
          <w:color w:val="1F497D" w:themeColor="text2"/>
          <w:sz w:val="24"/>
          <w:szCs w:val="24"/>
        </w:rPr>
      </w:pPr>
      <w:r w:rsidRPr="00560443">
        <w:rPr>
          <w:rFonts w:ascii="gobCL" w:hAnsi="gobCL"/>
          <w:b/>
          <w:color w:val="1F497D" w:themeColor="text2"/>
          <w:sz w:val="24"/>
          <w:szCs w:val="24"/>
        </w:rPr>
        <w:t>S</w:t>
      </w:r>
      <w:r>
        <w:rPr>
          <w:rFonts w:ascii="gobCL" w:hAnsi="gobCL"/>
          <w:b/>
          <w:color w:val="1F497D" w:themeColor="text2"/>
          <w:sz w:val="24"/>
          <w:szCs w:val="24"/>
        </w:rPr>
        <w:t>í</w:t>
      </w:r>
      <w:r w:rsidR="00B74F7E">
        <w:rPr>
          <w:rFonts w:ascii="gobCL" w:hAnsi="gobCL"/>
          <w:b/>
          <w:color w:val="1F497D" w:themeColor="text2"/>
          <w:sz w:val="24"/>
          <w:szCs w:val="24"/>
        </w:rPr>
        <w:t>.</w:t>
      </w:r>
    </w:p>
    <w:p w:rsidR="007E21B3" w:rsidRDefault="007E21B3" w:rsidP="007E21B3">
      <w:pPr>
        <w:spacing w:line="240" w:lineRule="auto"/>
        <w:jc w:val="both"/>
        <w:rPr>
          <w:rFonts w:ascii="gobCL" w:hAnsi="gobCL"/>
          <w:sz w:val="24"/>
          <w:szCs w:val="24"/>
        </w:rPr>
      </w:pPr>
    </w:p>
    <w:p w:rsidR="00560443" w:rsidRPr="00560443" w:rsidRDefault="00560443" w:rsidP="007E21B3">
      <w:pPr>
        <w:spacing w:line="240" w:lineRule="auto"/>
        <w:jc w:val="both"/>
        <w:rPr>
          <w:rFonts w:ascii="gobCL" w:hAnsi="gobCL"/>
          <w:sz w:val="24"/>
          <w:szCs w:val="24"/>
        </w:rPr>
      </w:pPr>
    </w:p>
    <w:p w:rsidR="002C0E50" w:rsidRDefault="002C0E50" w:rsidP="003A25D9">
      <w:pPr>
        <w:pStyle w:val="Textosinformato"/>
        <w:ind w:left="705" w:hanging="705"/>
        <w:jc w:val="both"/>
        <w:rPr>
          <w:rFonts w:ascii="gobCL" w:hAnsi="gobCL"/>
          <w:sz w:val="24"/>
          <w:szCs w:val="24"/>
        </w:rPr>
      </w:pPr>
    </w:p>
    <w:p w:rsidR="002C0E50" w:rsidRDefault="002C0E50" w:rsidP="003A25D9">
      <w:pPr>
        <w:pStyle w:val="Textosinformato"/>
        <w:ind w:left="705" w:hanging="705"/>
        <w:jc w:val="both"/>
        <w:rPr>
          <w:rFonts w:ascii="gobCL" w:hAnsi="gobCL"/>
          <w:sz w:val="24"/>
          <w:szCs w:val="24"/>
        </w:rPr>
      </w:pPr>
    </w:p>
    <w:p w:rsidR="007E21B3" w:rsidRPr="00560443" w:rsidRDefault="007E21B3" w:rsidP="003A25D9">
      <w:pPr>
        <w:pStyle w:val="Textosinformato"/>
        <w:ind w:left="705" w:hanging="705"/>
        <w:jc w:val="both"/>
        <w:rPr>
          <w:rFonts w:ascii="gobCL" w:hAnsi="gobCL"/>
          <w:sz w:val="24"/>
          <w:szCs w:val="24"/>
        </w:rPr>
      </w:pPr>
      <w:r w:rsidRPr="00560443">
        <w:rPr>
          <w:rFonts w:ascii="gobCL" w:hAnsi="gobCL"/>
          <w:sz w:val="24"/>
          <w:szCs w:val="24"/>
        </w:rPr>
        <w:t xml:space="preserve">55. </w:t>
      </w:r>
      <w:r w:rsidR="003A25D9" w:rsidRPr="00560443">
        <w:rPr>
          <w:rFonts w:ascii="gobCL" w:hAnsi="gobCL"/>
          <w:sz w:val="24"/>
          <w:szCs w:val="24"/>
        </w:rPr>
        <w:tab/>
      </w:r>
      <w:r w:rsidRPr="00560443">
        <w:rPr>
          <w:rFonts w:ascii="gobCL" w:hAnsi="gobCL"/>
          <w:sz w:val="24"/>
          <w:szCs w:val="24"/>
        </w:rPr>
        <w:t xml:space="preserve">En el caso de adjudicarnos una lote y aplicar este a una lancha </w:t>
      </w:r>
      <w:r w:rsidR="003A25D9" w:rsidRPr="00560443">
        <w:rPr>
          <w:rFonts w:ascii="gobCL" w:hAnsi="gobCL"/>
          <w:sz w:val="24"/>
          <w:szCs w:val="24"/>
        </w:rPr>
        <w:t>artesanal,</w:t>
      </w:r>
      <w:r w:rsidRPr="00560443">
        <w:rPr>
          <w:rFonts w:ascii="gobCL" w:hAnsi="gobCL"/>
          <w:sz w:val="24"/>
          <w:szCs w:val="24"/>
        </w:rPr>
        <w:t xml:space="preserve"> Existe algún requisito de fauna </w:t>
      </w:r>
      <w:r w:rsidR="003A25D9" w:rsidRPr="00560443">
        <w:rPr>
          <w:rFonts w:ascii="gobCL" w:hAnsi="gobCL"/>
          <w:sz w:val="24"/>
          <w:szCs w:val="24"/>
        </w:rPr>
        <w:t>acompañante</w:t>
      </w:r>
      <w:proofErr w:type="gramStart"/>
      <w:r w:rsidR="003A25D9" w:rsidRPr="00560443">
        <w:rPr>
          <w:rFonts w:ascii="gobCL" w:hAnsi="gobCL"/>
          <w:sz w:val="24"/>
          <w:szCs w:val="24"/>
        </w:rPr>
        <w:t>?</w:t>
      </w:r>
      <w:proofErr w:type="gramEnd"/>
    </w:p>
    <w:p w:rsidR="007E21B3" w:rsidRPr="00560443" w:rsidRDefault="007E21B3" w:rsidP="007E21B3">
      <w:pPr>
        <w:pStyle w:val="Textosinformato"/>
        <w:jc w:val="both"/>
        <w:rPr>
          <w:rFonts w:ascii="gobCL" w:hAnsi="gobCL"/>
          <w:sz w:val="24"/>
          <w:szCs w:val="24"/>
        </w:rPr>
      </w:pPr>
    </w:p>
    <w:p w:rsidR="003A25D9" w:rsidRPr="00560443" w:rsidRDefault="003A25D9" w:rsidP="003A25D9">
      <w:pPr>
        <w:spacing w:line="240" w:lineRule="auto"/>
        <w:ind w:left="708"/>
        <w:jc w:val="both"/>
        <w:rPr>
          <w:rFonts w:ascii="gobCL" w:hAnsi="gobCL"/>
          <w:b/>
          <w:color w:val="1F497D" w:themeColor="text2"/>
          <w:sz w:val="24"/>
          <w:szCs w:val="24"/>
        </w:rPr>
      </w:pPr>
      <w:r w:rsidRPr="00560443">
        <w:rPr>
          <w:rFonts w:ascii="gobCL" w:hAnsi="gobCL"/>
          <w:b/>
          <w:color w:val="1F497D" w:themeColor="text2"/>
          <w:sz w:val="24"/>
          <w:szCs w:val="24"/>
        </w:rPr>
        <w:t xml:space="preserve">A las licencias transables de pesca se le aplica la normativa industrial. El titular de licencias transables de pesca, </w:t>
      </w:r>
      <w:r w:rsidR="008B7C7A">
        <w:rPr>
          <w:rFonts w:ascii="gobCL" w:hAnsi="gobCL"/>
          <w:b/>
          <w:color w:val="1F497D" w:themeColor="text2"/>
          <w:sz w:val="24"/>
          <w:szCs w:val="24"/>
        </w:rPr>
        <w:t xml:space="preserve">al momento de operativizar e inscribir las naves o embarcaciones con que la hará efectiva, en el Registro de Naves que lleva el Servicio, </w:t>
      </w:r>
      <w:r w:rsidRPr="00560443">
        <w:rPr>
          <w:rFonts w:ascii="gobCL" w:hAnsi="gobCL"/>
          <w:b/>
          <w:color w:val="1F497D" w:themeColor="text2"/>
          <w:sz w:val="24"/>
          <w:szCs w:val="24"/>
        </w:rPr>
        <w:t>debe</w:t>
      </w:r>
      <w:r w:rsidR="008B7C7A">
        <w:rPr>
          <w:rFonts w:ascii="gobCL" w:hAnsi="gobCL"/>
          <w:b/>
          <w:color w:val="1F497D" w:themeColor="text2"/>
          <w:sz w:val="24"/>
          <w:szCs w:val="24"/>
        </w:rPr>
        <w:t xml:space="preserve"> acreditar</w:t>
      </w:r>
      <w:r w:rsidRPr="00560443">
        <w:rPr>
          <w:rFonts w:ascii="gobCL" w:hAnsi="gobCL"/>
          <w:b/>
          <w:color w:val="1F497D" w:themeColor="text2"/>
          <w:sz w:val="24"/>
          <w:szCs w:val="24"/>
        </w:rPr>
        <w:t xml:space="preserve"> tener las especies</w:t>
      </w:r>
      <w:r w:rsidR="008B7C7A">
        <w:rPr>
          <w:rFonts w:ascii="gobCL" w:hAnsi="gobCL"/>
          <w:b/>
          <w:color w:val="1F497D" w:themeColor="text2"/>
          <w:sz w:val="24"/>
          <w:szCs w:val="24"/>
        </w:rPr>
        <w:t xml:space="preserve"> y en las magnitudes</w:t>
      </w:r>
      <w:r w:rsidRPr="00560443">
        <w:rPr>
          <w:rFonts w:ascii="gobCL" w:hAnsi="gobCL"/>
          <w:b/>
          <w:color w:val="1F497D" w:themeColor="text2"/>
          <w:sz w:val="24"/>
          <w:szCs w:val="24"/>
        </w:rPr>
        <w:t xml:space="preserve"> </w:t>
      </w:r>
      <w:r w:rsidR="008B7C7A">
        <w:rPr>
          <w:rFonts w:ascii="gobCL" w:hAnsi="gobCL"/>
          <w:b/>
          <w:color w:val="1F497D" w:themeColor="text2"/>
          <w:sz w:val="24"/>
          <w:szCs w:val="24"/>
        </w:rPr>
        <w:t>señaladas en</w:t>
      </w:r>
      <w:r w:rsidRPr="00560443">
        <w:rPr>
          <w:rFonts w:ascii="gobCL" w:hAnsi="gobCL"/>
          <w:b/>
          <w:color w:val="1F497D" w:themeColor="text2"/>
          <w:sz w:val="24"/>
          <w:szCs w:val="24"/>
        </w:rPr>
        <w:t xml:space="preserve"> la resolución exenta N° 3200 de 2013 y sus modificaciones posteriores.</w:t>
      </w:r>
    </w:p>
    <w:p w:rsidR="007E21B3" w:rsidRPr="00560443" w:rsidRDefault="003A25D9" w:rsidP="003A25D9">
      <w:pPr>
        <w:pStyle w:val="Textosinformato"/>
        <w:ind w:left="708"/>
        <w:jc w:val="both"/>
        <w:rPr>
          <w:rFonts w:ascii="gobCL" w:hAnsi="gobCL"/>
          <w:b/>
          <w:color w:val="1F497D" w:themeColor="text2"/>
          <w:sz w:val="24"/>
          <w:szCs w:val="24"/>
        </w:rPr>
      </w:pPr>
      <w:r w:rsidRPr="00560443">
        <w:rPr>
          <w:rFonts w:ascii="gobCL" w:hAnsi="gobCL"/>
          <w:b/>
          <w:color w:val="1F497D" w:themeColor="text2"/>
          <w:sz w:val="24"/>
          <w:szCs w:val="24"/>
        </w:rPr>
        <w:t>En el caso de que el titular de licencia ceda las toneladas que represente su licencia a uno o más armadores artesanal</w:t>
      </w:r>
      <w:r w:rsidR="00B74F7E">
        <w:rPr>
          <w:rFonts w:ascii="gobCL" w:hAnsi="gobCL"/>
          <w:b/>
          <w:color w:val="1F497D" w:themeColor="text2"/>
          <w:sz w:val="24"/>
          <w:szCs w:val="24"/>
        </w:rPr>
        <w:t>es</w:t>
      </w:r>
      <w:r w:rsidRPr="00560443">
        <w:rPr>
          <w:rFonts w:ascii="gobCL" w:hAnsi="gobCL"/>
          <w:b/>
          <w:color w:val="1F497D" w:themeColor="text2"/>
          <w:sz w:val="24"/>
          <w:szCs w:val="24"/>
        </w:rPr>
        <w:t>, en virtud del artículo 55 T de la Ley de Pesca y Acuicultura, este armador artesanal se rige por la Resolución Exenta N° 3115 de 2013 y sus modificaciones.</w:t>
      </w:r>
    </w:p>
    <w:p w:rsidR="003A25D9" w:rsidRPr="00560443" w:rsidRDefault="003A25D9" w:rsidP="003A25D9">
      <w:pPr>
        <w:pStyle w:val="Textosinformato"/>
        <w:ind w:left="708"/>
        <w:jc w:val="both"/>
        <w:rPr>
          <w:rFonts w:ascii="gobCL" w:hAnsi="gobCL"/>
          <w:sz w:val="24"/>
          <w:szCs w:val="24"/>
        </w:rPr>
      </w:pPr>
    </w:p>
    <w:p w:rsidR="007E21B3" w:rsidRDefault="007E21B3" w:rsidP="003A25D9">
      <w:pPr>
        <w:spacing w:line="240" w:lineRule="auto"/>
        <w:ind w:left="705" w:hanging="705"/>
        <w:jc w:val="both"/>
        <w:rPr>
          <w:rStyle w:val="gmail-s1"/>
          <w:rFonts w:ascii="gobCL" w:hAnsi="gobCL"/>
          <w:sz w:val="24"/>
          <w:szCs w:val="24"/>
        </w:rPr>
      </w:pPr>
      <w:r w:rsidRPr="00560443">
        <w:rPr>
          <w:rFonts w:ascii="gobCL" w:hAnsi="gobCL"/>
          <w:sz w:val="24"/>
          <w:szCs w:val="24"/>
        </w:rPr>
        <w:t xml:space="preserve">56. </w:t>
      </w:r>
      <w:r w:rsidR="003A25D9" w:rsidRPr="00560443">
        <w:rPr>
          <w:rFonts w:ascii="gobCL" w:hAnsi="gobCL"/>
          <w:sz w:val="24"/>
          <w:szCs w:val="24"/>
        </w:rPr>
        <w:tab/>
      </w:r>
      <w:r w:rsidRPr="00560443">
        <w:rPr>
          <w:rStyle w:val="gmail-s1"/>
          <w:rFonts w:ascii="gobCL" w:hAnsi="gobCL"/>
          <w:sz w:val="24"/>
          <w:szCs w:val="24"/>
        </w:rPr>
        <w:t>Respecto a lo que las bases señalan en el punto 14, sobre los lotes desiertos. Qué ocurrirá con los lotes que no sean asignados, producto de no haber sido adjudicados</w:t>
      </w:r>
      <w:proofErr w:type="gramStart"/>
      <w:r w:rsidRPr="00560443">
        <w:rPr>
          <w:rStyle w:val="gmail-s1"/>
          <w:rFonts w:ascii="gobCL" w:hAnsi="gobCL"/>
          <w:sz w:val="24"/>
          <w:szCs w:val="24"/>
        </w:rPr>
        <w:t>?</w:t>
      </w:r>
      <w:proofErr w:type="gramEnd"/>
      <w:r w:rsidRPr="00560443">
        <w:rPr>
          <w:rStyle w:val="gmail-s1"/>
          <w:rFonts w:ascii="gobCL" w:hAnsi="gobCL"/>
          <w:sz w:val="24"/>
          <w:szCs w:val="24"/>
        </w:rPr>
        <w:t xml:space="preserve"> Ese coeficiente queda como una reserva Estatal de la especie por los siguientes 20 años o se extingue al año siguiente en la deducción de cuotas globales</w:t>
      </w:r>
      <w:proofErr w:type="gramStart"/>
      <w:r w:rsidRPr="00560443">
        <w:rPr>
          <w:rStyle w:val="gmail-s1"/>
          <w:rFonts w:ascii="gobCL" w:hAnsi="gobCL"/>
          <w:sz w:val="24"/>
          <w:szCs w:val="24"/>
        </w:rPr>
        <w:t>?</w:t>
      </w:r>
      <w:proofErr w:type="gramEnd"/>
    </w:p>
    <w:p w:rsidR="002C0E50" w:rsidRPr="00560443" w:rsidRDefault="002C0E50" w:rsidP="002C0E50">
      <w:pPr>
        <w:spacing w:line="240" w:lineRule="auto"/>
        <w:ind w:left="705"/>
        <w:jc w:val="both"/>
        <w:rPr>
          <w:rFonts w:ascii="gobCL" w:eastAsia="Times New Roman" w:hAnsi="gobCL"/>
          <w:b/>
          <w:color w:val="1F497D" w:themeColor="text2"/>
          <w:sz w:val="24"/>
          <w:szCs w:val="24"/>
        </w:rPr>
      </w:pPr>
      <w:r w:rsidRPr="00560443">
        <w:rPr>
          <w:rFonts w:ascii="gobCL" w:eastAsia="Times New Roman" w:hAnsi="gobCL"/>
          <w:b/>
          <w:color w:val="1F497D" w:themeColor="text2"/>
          <w:sz w:val="24"/>
          <w:szCs w:val="24"/>
        </w:rPr>
        <w:t>Según lo establecido en el inciso final del artículo 15 del Reglamento de Subasta de Licencias Transables de Pesca Clase B, en caso que no se adjudique este lote en la nueva subasta, la cuota correspondiente a dicho lote no será reasignada.</w:t>
      </w:r>
    </w:p>
    <w:p w:rsidR="00F87C43" w:rsidRPr="00560443" w:rsidRDefault="007E21B3" w:rsidP="00F87C43">
      <w:pPr>
        <w:spacing w:line="240" w:lineRule="auto"/>
        <w:ind w:left="705" w:hanging="705"/>
        <w:jc w:val="both"/>
        <w:rPr>
          <w:rFonts w:ascii="gobCL" w:eastAsia="Times New Roman" w:hAnsi="gobCL"/>
          <w:sz w:val="24"/>
          <w:szCs w:val="24"/>
        </w:rPr>
      </w:pPr>
      <w:r w:rsidRPr="00560443">
        <w:rPr>
          <w:rStyle w:val="gmail-s1"/>
          <w:rFonts w:ascii="gobCL" w:eastAsia="Times New Roman" w:hAnsi="gobCL"/>
          <w:sz w:val="24"/>
          <w:szCs w:val="24"/>
        </w:rPr>
        <w:t xml:space="preserve">57. </w:t>
      </w:r>
      <w:r w:rsidR="003A25D9" w:rsidRPr="00560443">
        <w:rPr>
          <w:rStyle w:val="gmail-s1"/>
          <w:rFonts w:ascii="gobCL" w:eastAsia="Times New Roman" w:hAnsi="gobCL"/>
          <w:sz w:val="24"/>
          <w:szCs w:val="24"/>
        </w:rPr>
        <w:tab/>
      </w:r>
      <w:r w:rsidRPr="00560443">
        <w:rPr>
          <w:rStyle w:val="gmail-s1"/>
          <w:rFonts w:ascii="gobCL" w:eastAsia="Times New Roman" w:hAnsi="gobCL"/>
          <w:sz w:val="24"/>
          <w:szCs w:val="24"/>
        </w:rPr>
        <w:t>Considerando que me expresé mal, dado que no obtuve la respuesta que buscaba, les preciso entonces lo siguiente:</w:t>
      </w:r>
    </w:p>
    <w:p w:rsidR="007E21B3" w:rsidRDefault="007E21B3" w:rsidP="00F87C43">
      <w:pPr>
        <w:spacing w:line="240" w:lineRule="auto"/>
        <w:ind w:left="705"/>
        <w:jc w:val="both"/>
        <w:rPr>
          <w:rFonts w:ascii="gobCL" w:eastAsia="Times New Roman" w:hAnsi="gobCL"/>
          <w:sz w:val="24"/>
          <w:szCs w:val="24"/>
        </w:rPr>
      </w:pPr>
      <w:r w:rsidRPr="00560443">
        <w:rPr>
          <w:rStyle w:val="gmail-s1"/>
          <w:rFonts w:ascii="gobCL" w:eastAsia="Times New Roman" w:hAnsi="gobCL"/>
          <w:sz w:val="24"/>
          <w:szCs w:val="24"/>
        </w:rPr>
        <w:t>Considerando que la licitación tiene uno o más lotes desistidos, posteriormente y tras el segundo llamado no hubiere oferentes. Razón por la cual se aplica lo establecido el</w:t>
      </w:r>
      <w:r w:rsidR="00982EEB" w:rsidRPr="00560443">
        <w:rPr>
          <w:rStyle w:val="gmail-s1"/>
          <w:rFonts w:ascii="gobCL" w:eastAsia="Times New Roman" w:hAnsi="gobCL"/>
          <w:sz w:val="24"/>
          <w:szCs w:val="24"/>
        </w:rPr>
        <w:t xml:space="preserve"> art 27 de la L</w:t>
      </w:r>
      <w:r w:rsidRPr="00560443">
        <w:rPr>
          <w:rStyle w:val="gmail-s1"/>
          <w:rFonts w:ascii="gobCL" w:eastAsia="Times New Roman" w:hAnsi="gobCL"/>
          <w:sz w:val="24"/>
          <w:szCs w:val="24"/>
        </w:rPr>
        <w:t xml:space="preserve">ey </w:t>
      </w:r>
      <w:r w:rsidR="00982EEB" w:rsidRPr="00560443">
        <w:rPr>
          <w:rStyle w:val="gmail-s1"/>
          <w:rFonts w:ascii="gobCL" w:eastAsia="Times New Roman" w:hAnsi="gobCL"/>
          <w:sz w:val="24"/>
          <w:szCs w:val="24"/>
        </w:rPr>
        <w:t xml:space="preserve">N° </w:t>
      </w:r>
      <w:r w:rsidRPr="00560443">
        <w:rPr>
          <w:rStyle w:val="gmail-s1"/>
          <w:rFonts w:ascii="gobCL" w:eastAsia="Times New Roman" w:hAnsi="gobCL"/>
          <w:sz w:val="24"/>
          <w:szCs w:val="24"/>
        </w:rPr>
        <w:t>20.657 y recogido en parte por las bases en su art. 14, les consulto: Qué ocurrirá con él o los lotes que “no serán asignados a ningún actor</w:t>
      </w:r>
      <w:r w:rsidR="00F87C43" w:rsidRPr="00560443">
        <w:rPr>
          <w:rStyle w:val="gmail-s1"/>
          <w:rFonts w:ascii="gobCL" w:eastAsia="Times New Roman" w:hAnsi="gobCL"/>
          <w:sz w:val="24"/>
          <w:szCs w:val="24"/>
        </w:rPr>
        <w:t>.</w:t>
      </w:r>
      <w:r w:rsidRPr="00560443">
        <w:rPr>
          <w:rStyle w:val="gmail-s1"/>
          <w:rFonts w:ascii="gobCL" w:eastAsia="Times New Roman" w:hAnsi="gobCL"/>
          <w:sz w:val="24"/>
          <w:szCs w:val="24"/>
        </w:rPr>
        <w:t>”</w:t>
      </w:r>
      <w:r w:rsidRPr="00560443">
        <w:rPr>
          <w:rStyle w:val="gmail-s1"/>
          <w:rFonts w:ascii="gobCL" w:eastAsia="Times New Roman" w:hAnsi="gobCL" w:cs="Courier New"/>
          <w:sz w:val="24"/>
          <w:szCs w:val="24"/>
        </w:rPr>
        <w:t xml:space="preserve"> </w:t>
      </w:r>
      <w:r w:rsidRPr="00560443">
        <w:rPr>
          <w:rFonts w:ascii="gobCL" w:eastAsia="Times New Roman" w:hAnsi="gobCL"/>
          <w:sz w:val="24"/>
          <w:szCs w:val="24"/>
        </w:rPr>
        <w:t>Ese coeficiente queda como una reserva Estatal de la especie por los siguientes 20 años o se extingue al año siguiente en la deducción de cuotas globales</w:t>
      </w:r>
      <w:proofErr w:type="gramStart"/>
      <w:r w:rsidRPr="00560443">
        <w:rPr>
          <w:rFonts w:ascii="gobCL" w:eastAsia="Times New Roman" w:hAnsi="gobCL"/>
          <w:sz w:val="24"/>
          <w:szCs w:val="24"/>
        </w:rPr>
        <w:t>?</w:t>
      </w:r>
      <w:proofErr w:type="gramEnd"/>
    </w:p>
    <w:p w:rsidR="00FC6D53" w:rsidRPr="00560443" w:rsidRDefault="00FC6D53" w:rsidP="00F87C43">
      <w:pPr>
        <w:spacing w:line="240" w:lineRule="auto"/>
        <w:ind w:left="705"/>
        <w:jc w:val="both"/>
        <w:rPr>
          <w:rFonts w:ascii="gobCL" w:eastAsia="Times New Roman" w:hAnsi="gobCL"/>
          <w:sz w:val="24"/>
          <w:szCs w:val="24"/>
        </w:rPr>
      </w:pPr>
    </w:p>
    <w:p w:rsidR="00102224" w:rsidRPr="00560443" w:rsidRDefault="00225A21" w:rsidP="00F87C43">
      <w:pPr>
        <w:spacing w:line="240" w:lineRule="auto"/>
        <w:ind w:left="705"/>
        <w:jc w:val="both"/>
        <w:rPr>
          <w:rFonts w:ascii="gobCL" w:eastAsia="Times New Roman" w:hAnsi="gobCL"/>
          <w:b/>
          <w:color w:val="1F497D" w:themeColor="text2"/>
          <w:sz w:val="24"/>
          <w:szCs w:val="24"/>
        </w:rPr>
      </w:pPr>
      <w:r>
        <w:rPr>
          <w:rFonts w:ascii="gobCL" w:eastAsia="Times New Roman" w:hAnsi="gobCL"/>
          <w:b/>
          <w:color w:val="1F497D" w:themeColor="text2"/>
          <w:sz w:val="24"/>
          <w:szCs w:val="24"/>
        </w:rPr>
        <w:lastRenderedPageBreak/>
        <w:t>Se aplica lo dispuesto en el</w:t>
      </w:r>
      <w:r w:rsidR="00F87C43" w:rsidRPr="00560443">
        <w:rPr>
          <w:rFonts w:ascii="gobCL" w:eastAsia="Times New Roman" w:hAnsi="gobCL"/>
          <w:b/>
          <w:color w:val="1F497D" w:themeColor="text2"/>
          <w:sz w:val="24"/>
          <w:szCs w:val="24"/>
        </w:rPr>
        <w:t xml:space="preserve"> inciso final del artículo 15 del Reglamento de Subasta de Licencias Transables de Pesca Clase B, </w:t>
      </w:r>
      <w:r>
        <w:rPr>
          <w:rFonts w:ascii="gobCL" w:eastAsia="Times New Roman" w:hAnsi="gobCL"/>
          <w:b/>
          <w:color w:val="1F497D" w:themeColor="text2"/>
          <w:sz w:val="24"/>
          <w:szCs w:val="24"/>
        </w:rPr>
        <w:t xml:space="preserve">el que señala que </w:t>
      </w:r>
      <w:r w:rsidR="00F87C43" w:rsidRPr="00560443">
        <w:rPr>
          <w:rFonts w:ascii="gobCL" w:eastAsia="Times New Roman" w:hAnsi="gobCL"/>
          <w:b/>
          <w:color w:val="1F497D" w:themeColor="text2"/>
          <w:sz w:val="24"/>
          <w:szCs w:val="24"/>
        </w:rPr>
        <w:t>en caso que no se adjudique este lote en la nueva subasta, la cuota correspondiente a dicho lote no será reasignada.</w:t>
      </w:r>
      <w:r w:rsidR="008441D5">
        <w:rPr>
          <w:rFonts w:ascii="gobCL" w:eastAsia="Times New Roman" w:hAnsi="gobCL"/>
          <w:b/>
          <w:color w:val="1F497D" w:themeColor="text2"/>
          <w:sz w:val="24"/>
          <w:szCs w:val="24"/>
        </w:rPr>
        <w:t>|</w:t>
      </w:r>
    </w:p>
    <w:p w:rsidR="00FC6D53" w:rsidRDefault="00FC6D53" w:rsidP="00F87C43">
      <w:pPr>
        <w:spacing w:line="240" w:lineRule="auto"/>
        <w:ind w:left="705" w:hanging="705"/>
        <w:jc w:val="both"/>
        <w:rPr>
          <w:rFonts w:ascii="gobCL" w:eastAsia="Times New Roman" w:hAnsi="gobCL"/>
          <w:iCs/>
          <w:color w:val="222A35"/>
          <w:sz w:val="24"/>
          <w:szCs w:val="24"/>
        </w:rPr>
      </w:pPr>
    </w:p>
    <w:p w:rsidR="00102224" w:rsidRPr="00560443" w:rsidRDefault="00102224" w:rsidP="00F87C43">
      <w:pPr>
        <w:spacing w:line="240" w:lineRule="auto"/>
        <w:ind w:left="705" w:hanging="705"/>
        <w:jc w:val="both"/>
        <w:rPr>
          <w:rFonts w:ascii="gobCL" w:eastAsia="Times New Roman" w:hAnsi="gobCL"/>
          <w:sz w:val="24"/>
          <w:szCs w:val="24"/>
        </w:rPr>
      </w:pPr>
      <w:r w:rsidRPr="00560443">
        <w:rPr>
          <w:rFonts w:ascii="gobCL" w:eastAsia="Times New Roman" w:hAnsi="gobCL"/>
          <w:iCs/>
          <w:color w:val="222A35"/>
          <w:sz w:val="24"/>
          <w:szCs w:val="24"/>
        </w:rPr>
        <w:t>5</w:t>
      </w:r>
      <w:r w:rsidR="00560443">
        <w:rPr>
          <w:rFonts w:ascii="gobCL" w:eastAsia="Times New Roman" w:hAnsi="gobCL"/>
          <w:iCs/>
          <w:color w:val="222A35"/>
          <w:sz w:val="24"/>
          <w:szCs w:val="24"/>
        </w:rPr>
        <w:t>8</w:t>
      </w:r>
      <w:r w:rsidRPr="00560443">
        <w:rPr>
          <w:rFonts w:ascii="gobCL" w:eastAsia="Times New Roman" w:hAnsi="gobCL"/>
          <w:iCs/>
          <w:color w:val="222A35"/>
          <w:sz w:val="24"/>
          <w:szCs w:val="24"/>
        </w:rPr>
        <w:t>.</w:t>
      </w:r>
      <w:r w:rsidRPr="00560443">
        <w:rPr>
          <w:rFonts w:ascii="gobCL" w:eastAsia="Times New Roman" w:hAnsi="gobCL"/>
          <w:i/>
          <w:iCs/>
          <w:color w:val="222A35"/>
          <w:sz w:val="24"/>
          <w:szCs w:val="24"/>
        </w:rPr>
        <w:t xml:space="preserve"> </w:t>
      </w:r>
      <w:r w:rsidR="00F87C43" w:rsidRPr="00560443">
        <w:rPr>
          <w:rFonts w:ascii="gobCL" w:eastAsia="Times New Roman" w:hAnsi="gobCL"/>
          <w:i/>
          <w:iCs/>
          <w:color w:val="222A35"/>
          <w:sz w:val="24"/>
          <w:szCs w:val="24"/>
        </w:rPr>
        <w:tab/>
      </w:r>
      <w:r w:rsidRPr="00560443">
        <w:rPr>
          <w:rFonts w:ascii="gobCL" w:eastAsia="Times New Roman" w:hAnsi="gobCL"/>
          <w:iCs/>
          <w:sz w:val="24"/>
          <w:szCs w:val="24"/>
        </w:rPr>
        <w:t>De conformidad las Bases Administrativas, relacionada con la apertura de sobres del Art. N° 10 de las Bases de la referencia, agradeceremos su aclaración a la siguiente pregunta:</w:t>
      </w:r>
    </w:p>
    <w:p w:rsidR="00102224" w:rsidRPr="00225A21" w:rsidRDefault="00102224" w:rsidP="00F87C43">
      <w:pPr>
        <w:spacing w:line="240" w:lineRule="auto"/>
        <w:ind w:left="705"/>
        <w:jc w:val="both"/>
        <w:rPr>
          <w:rFonts w:ascii="gobCL" w:eastAsia="Times New Roman" w:hAnsi="gobCL"/>
          <w:iCs/>
          <w:sz w:val="24"/>
          <w:szCs w:val="24"/>
        </w:rPr>
      </w:pPr>
      <w:r w:rsidRPr="00225A21">
        <w:rPr>
          <w:rFonts w:ascii="gobCL" w:eastAsia="Times New Roman" w:hAnsi="gobCL"/>
          <w:iCs/>
          <w:sz w:val="24"/>
          <w:szCs w:val="24"/>
        </w:rPr>
        <w:t>La apertura del sobre N° 1, que contiene los Antecedentes Administrativos, es un Acto Público en el que pueden participar Representantes del Oferente</w:t>
      </w:r>
      <w:proofErr w:type="gramStart"/>
      <w:r w:rsidR="00982EEB" w:rsidRPr="00225A21">
        <w:rPr>
          <w:rFonts w:ascii="gobCL" w:eastAsia="Times New Roman" w:hAnsi="gobCL"/>
          <w:iCs/>
          <w:sz w:val="24"/>
          <w:szCs w:val="24"/>
        </w:rPr>
        <w:t>?</w:t>
      </w:r>
      <w:proofErr w:type="gramEnd"/>
    </w:p>
    <w:p w:rsidR="00560443" w:rsidRPr="00560443" w:rsidRDefault="008B7C7A" w:rsidP="0056044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1F497D" w:themeColor="text2"/>
          <w:sz w:val="24"/>
          <w:szCs w:val="24"/>
          <w:lang w:val="es-ES_tradnl" w:eastAsia="es-ES"/>
        </w:rPr>
      </w:pPr>
      <w:r w:rsidRPr="00560443">
        <w:rPr>
          <w:rFonts w:ascii="gobCL" w:eastAsia="Times New Roman" w:hAnsi="gobCL" w:cs="Arial"/>
          <w:b/>
          <w:color w:val="1F497D" w:themeColor="text2"/>
          <w:sz w:val="24"/>
          <w:szCs w:val="24"/>
          <w:lang w:val="es-ES_tradnl" w:eastAsia="es-ES"/>
        </w:rPr>
        <w:t>No es un acto público</w:t>
      </w:r>
      <w:r>
        <w:rPr>
          <w:rFonts w:ascii="gobCL" w:eastAsia="Times New Roman" w:hAnsi="gobCL" w:cs="Arial"/>
          <w:b/>
          <w:color w:val="1F497D" w:themeColor="text2"/>
          <w:sz w:val="24"/>
          <w:szCs w:val="24"/>
          <w:lang w:val="es-ES_tradnl" w:eastAsia="es-ES"/>
        </w:rPr>
        <w:t>, d</w:t>
      </w:r>
      <w:r w:rsidR="00560443" w:rsidRPr="00560443">
        <w:rPr>
          <w:rFonts w:ascii="gobCL" w:eastAsia="Times New Roman" w:hAnsi="gobCL" w:cs="Arial"/>
          <w:b/>
          <w:color w:val="1F497D" w:themeColor="text2"/>
          <w:sz w:val="24"/>
          <w:szCs w:val="24"/>
          <w:lang w:val="es-ES_tradnl" w:eastAsia="es-ES"/>
        </w:rPr>
        <w:t>e acuerdo al señalado punto 10. La apertura del sobre N° 1 “Antecedentes Administrativos”, se efectuará el día viernes 15 de diciembre de 2017, a partir de las 09:00 horas, en dependencias de la Subsecretaría, contando para ello con un nota</w:t>
      </w:r>
      <w:r>
        <w:rPr>
          <w:rFonts w:ascii="gobCL" w:eastAsia="Times New Roman" w:hAnsi="gobCL" w:cs="Arial"/>
          <w:b/>
          <w:color w:val="1F497D" w:themeColor="text2"/>
          <w:sz w:val="24"/>
          <w:szCs w:val="24"/>
          <w:lang w:val="es-ES_tradnl" w:eastAsia="es-ES"/>
        </w:rPr>
        <w:t>rio público designado al efecto</w:t>
      </w:r>
      <w:r w:rsidR="00560443" w:rsidRPr="00560443">
        <w:rPr>
          <w:rFonts w:ascii="gobCL" w:eastAsia="Times New Roman" w:hAnsi="gobCL" w:cs="Arial"/>
          <w:b/>
          <w:color w:val="1F497D" w:themeColor="text2"/>
          <w:sz w:val="24"/>
          <w:szCs w:val="24"/>
          <w:lang w:val="es-ES_tradnl" w:eastAsia="es-ES"/>
        </w:rPr>
        <w:t>.</w:t>
      </w:r>
    </w:p>
    <w:p w:rsidR="00560443" w:rsidRPr="00560443" w:rsidRDefault="00560443" w:rsidP="0056044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1F497D" w:themeColor="text2"/>
          <w:sz w:val="24"/>
          <w:szCs w:val="24"/>
          <w:lang w:val="es-ES_tradnl" w:eastAsia="es-ES"/>
        </w:rPr>
      </w:pPr>
    </w:p>
    <w:p w:rsidR="00560443" w:rsidRDefault="00560443" w:rsidP="00560443">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sz w:val="24"/>
          <w:szCs w:val="24"/>
          <w:lang w:val="es-ES_tradnl" w:eastAsia="es-ES"/>
        </w:rPr>
      </w:pPr>
      <w:r w:rsidRPr="00560443">
        <w:rPr>
          <w:rFonts w:ascii="gobCL" w:eastAsia="Times New Roman" w:hAnsi="gobCL" w:cs="Arial"/>
          <w:b/>
          <w:color w:val="1F497D" w:themeColor="text2"/>
          <w:sz w:val="24"/>
          <w:szCs w:val="24"/>
          <w:lang w:val="es-ES_tradnl" w:eastAsia="es-ES"/>
        </w:rPr>
        <w:t>Un acta de dicha apertura se publicará en sitio web de esta Subsecretaría (</w:t>
      </w:r>
      <w:hyperlink r:id="rId10" w:history="1">
        <w:r w:rsidRPr="00560443">
          <w:rPr>
            <w:rStyle w:val="Hipervnculo"/>
            <w:rFonts w:ascii="gobCL" w:eastAsia="Times New Roman" w:hAnsi="gobCL" w:cs="Arial"/>
            <w:b/>
            <w:color w:val="1F497D" w:themeColor="text2"/>
            <w:sz w:val="24"/>
            <w:szCs w:val="24"/>
            <w:lang w:val="es-ES_tradnl" w:eastAsia="es-ES"/>
          </w:rPr>
          <w:t>www.subpesca.cl</w:t>
        </w:r>
      </w:hyperlink>
      <w:r w:rsidRPr="00560443">
        <w:rPr>
          <w:rFonts w:ascii="gobCL" w:eastAsia="Times New Roman" w:hAnsi="gobCL" w:cs="Arial"/>
          <w:b/>
          <w:color w:val="1F497D" w:themeColor="text2"/>
          <w:sz w:val="24"/>
          <w:szCs w:val="24"/>
          <w:lang w:val="es-ES_tradnl" w:eastAsia="es-ES"/>
        </w:rPr>
        <w:t>). Los oferentes que no cumplan con tales exigencias no podrán participar en la subasta.</w:t>
      </w:r>
    </w:p>
    <w:p w:rsidR="00560443" w:rsidRPr="00560443" w:rsidRDefault="00560443" w:rsidP="00560443">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sz w:val="24"/>
          <w:szCs w:val="24"/>
          <w:lang w:val="es-ES_tradnl" w:eastAsia="es-ES"/>
        </w:rPr>
      </w:pPr>
    </w:p>
    <w:p w:rsidR="00535C1C" w:rsidRPr="00560443" w:rsidRDefault="00560443" w:rsidP="00560443">
      <w:pPr>
        <w:spacing w:line="240" w:lineRule="auto"/>
        <w:ind w:left="705" w:hanging="705"/>
        <w:jc w:val="both"/>
        <w:rPr>
          <w:rFonts w:ascii="gobCL" w:hAnsi="gobCL"/>
          <w:sz w:val="24"/>
          <w:szCs w:val="24"/>
        </w:rPr>
      </w:pPr>
      <w:r>
        <w:rPr>
          <w:rFonts w:ascii="gobCL" w:hAnsi="gobCL"/>
          <w:sz w:val="24"/>
          <w:szCs w:val="24"/>
        </w:rPr>
        <w:t>59</w:t>
      </w:r>
      <w:r w:rsidR="00535C1C" w:rsidRPr="00560443">
        <w:rPr>
          <w:rFonts w:ascii="gobCL" w:hAnsi="gobCL"/>
          <w:sz w:val="24"/>
          <w:szCs w:val="24"/>
        </w:rPr>
        <w:t xml:space="preserve">. </w:t>
      </w:r>
      <w:r w:rsidRPr="00560443">
        <w:rPr>
          <w:rFonts w:ascii="gobCL" w:hAnsi="gobCL"/>
          <w:sz w:val="24"/>
          <w:szCs w:val="24"/>
        </w:rPr>
        <w:tab/>
      </w:r>
      <w:r w:rsidR="00535C1C" w:rsidRPr="00560443">
        <w:rPr>
          <w:rFonts w:ascii="gobCL" w:hAnsi="gobCL"/>
          <w:sz w:val="24"/>
          <w:szCs w:val="24"/>
        </w:rPr>
        <w:t xml:space="preserve">Junto con saludar, solicito </w:t>
      </w:r>
      <w:r w:rsidR="00816868" w:rsidRPr="00560443">
        <w:rPr>
          <w:rFonts w:ascii="gobCL" w:hAnsi="gobCL"/>
          <w:sz w:val="24"/>
          <w:szCs w:val="24"/>
        </w:rPr>
        <w:t>información</w:t>
      </w:r>
      <w:r w:rsidR="00535C1C" w:rsidRPr="00560443">
        <w:rPr>
          <w:rFonts w:ascii="gobCL" w:hAnsi="gobCL"/>
          <w:sz w:val="24"/>
          <w:szCs w:val="24"/>
        </w:rPr>
        <w:t xml:space="preserve"> sobre las personas naturales que </w:t>
      </w:r>
      <w:r w:rsidR="00816868" w:rsidRPr="00560443">
        <w:rPr>
          <w:rFonts w:ascii="gobCL" w:hAnsi="gobCL"/>
          <w:sz w:val="24"/>
          <w:szCs w:val="24"/>
        </w:rPr>
        <w:t>serán</w:t>
      </w:r>
      <w:r w:rsidR="00535C1C" w:rsidRPr="00560443">
        <w:rPr>
          <w:rFonts w:ascii="gobCL" w:hAnsi="gobCL"/>
          <w:sz w:val="24"/>
          <w:szCs w:val="24"/>
        </w:rPr>
        <w:t xml:space="preserve"> oferentes, en el sobre </w:t>
      </w:r>
      <w:r w:rsidR="00816868" w:rsidRPr="00560443">
        <w:rPr>
          <w:rFonts w:ascii="gobCL" w:hAnsi="gobCL"/>
          <w:sz w:val="24"/>
          <w:szCs w:val="24"/>
        </w:rPr>
        <w:t>dónde</w:t>
      </w:r>
      <w:r w:rsidR="00535C1C" w:rsidRPr="00560443">
        <w:rPr>
          <w:rFonts w:ascii="gobCL" w:hAnsi="gobCL"/>
          <w:sz w:val="24"/>
          <w:szCs w:val="24"/>
        </w:rPr>
        <w:t xml:space="preserve"> van los datos de la persona a parte de los datos personales hay que incluir alguna otra </w:t>
      </w:r>
      <w:r w:rsidR="00816868" w:rsidRPr="00560443">
        <w:rPr>
          <w:rFonts w:ascii="gobCL" w:hAnsi="gobCL"/>
          <w:sz w:val="24"/>
          <w:szCs w:val="24"/>
        </w:rPr>
        <w:t>información</w:t>
      </w:r>
      <w:proofErr w:type="gramStart"/>
      <w:r w:rsidR="00816868" w:rsidRPr="00560443">
        <w:rPr>
          <w:rFonts w:ascii="gobCL" w:hAnsi="gobCL"/>
          <w:sz w:val="24"/>
          <w:szCs w:val="24"/>
        </w:rPr>
        <w:t>?</w:t>
      </w:r>
      <w:proofErr w:type="gramEnd"/>
    </w:p>
    <w:p w:rsidR="00560443" w:rsidRDefault="00560443" w:rsidP="00560443">
      <w:pPr>
        <w:spacing w:line="240" w:lineRule="auto"/>
        <w:ind w:firstLine="705"/>
        <w:jc w:val="both"/>
        <w:rPr>
          <w:rFonts w:ascii="gobCL" w:hAnsi="gobCL"/>
          <w:b/>
          <w:color w:val="1F497D" w:themeColor="text2"/>
          <w:sz w:val="24"/>
          <w:szCs w:val="24"/>
        </w:rPr>
      </w:pPr>
      <w:r w:rsidRPr="00560443">
        <w:rPr>
          <w:rFonts w:ascii="gobCL" w:hAnsi="gobCL"/>
          <w:b/>
          <w:color w:val="1F497D" w:themeColor="text2"/>
          <w:sz w:val="24"/>
          <w:szCs w:val="24"/>
        </w:rPr>
        <w:t>Remitirse al punto 8 de las bases administrativas respectivas.</w:t>
      </w:r>
    </w:p>
    <w:p w:rsidR="005F478C" w:rsidRPr="005F478C" w:rsidRDefault="005F478C" w:rsidP="005F478C">
      <w:pPr>
        <w:pStyle w:val="NormalWeb"/>
        <w:spacing w:before="0" w:beforeAutospacing="0" w:after="200" w:afterAutospacing="0"/>
        <w:ind w:left="705" w:hanging="705"/>
        <w:jc w:val="both"/>
        <w:rPr>
          <w:rFonts w:ascii="gobCL" w:hAnsi="gobCL"/>
        </w:rPr>
      </w:pPr>
      <w:r w:rsidRPr="005F478C">
        <w:rPr>
          <w:rFonts w:ascii="gobCL" w:hAnsi="gobCL" w:cs="Arial"/>
          <w:color w:val="000000"/>
        </w:rPr>
        <w:t xml:space="preserve">60. </w:t>
      </w:r>
      <w:r w:rsidRPr="005F478C">
        <w:rPr>
          <w:rFonts w:ascii="gobCL" w:hAnsi="gobCL" w:cs="Arial"/>
          <w:color w:val="000000"/>
        </w:rPr>
        <w:tab/>
        <w:t>Si una persona, ya sea natural, jurídica, califique como EMT o no, se adjudica varios lotes de la subasta de LTP Clase B de una determinada Unidad de Pesquería del recurso Jurel y solo paga la primera cuota de algunos de los lotes adjudicados, las preguntas son:</w:t>
      </w:r>
    </w:p>
    <w:p w:rsidR="005F478C" w:rsidRPr="005F478C" w:rsidRDefault="005F478C" w:rsidP="005F478C">
      <w:pPr>
        <w:pStyle w:val="NormalWeb"/>
        <w:numPr>
          <w:ilvl w:val="0"/>
          <w:numId w:val="36"/>
        </w:numPr>
        <w:spacing w:before="0" w:beforeAutospacing="0" w:after="0" w:afterAutospacing="0"/>
        <w:jc w:val="both"/>
        <w:rPr>
          <w:rFonts w:ascii="gobCL" w:hAnsi="gobCL"/>
        </w:rPr>
      </w:pPr>
      <w:r w:rsidRPr="005F478C">
        <w:rPr>
          <w:rFonts w:ascii="gobCL" w:hAnsi="gobCL" w:cs="Arial"/>
        </w:rPr>
        <w:t>Los lotes que la persona no pagó la primera cuota, se hace efectiva la garantía de seriedad de la oferta y el lote se vuelve a subastar</w:t>
      </w:r>
      <w:proofErr w:type="gramStart"/>
      <w:r w:rsidRPr="005F478C">
        <w:rPr>
          <w:rFonts w:ascii="gobCL" w:hAnsi="gobCL" w:cs="Arial"/>
        </w:rPr>
        <w:t>?</w:t>
      </w:r>
      <w:proofErr w:type="gramEnd"/>
    </w:p>
    <w:p w:rsidR="005F478C" w:rsidRDefault="005F478C" w:rsidP="005F478C">
      <w:pPr>
        <w:pStyle w:val="NormalWeb"/>
        <w:spacing w:before="0" w:beforeAutospacing="0" w:after="0" w:afterAutospacing="0"/>
        <w:ind w:left="360"/>
        <w:jc w:val="both"/>
        <w:rPr>
          <w:rFonts w:ascii="gobCL" w:hAnsi="gobCL" w:cs="Arial"/>
        </w:rPr>
      </w:pPr>
    </w:p>
    <w:p w:rsidR="005F478C" w:rsidRPr="005F478C" w:rsidRDefault="005F478C" w:rsidP="005F478C">
      <w:pPr>
        <w:pStyle w:val="NormalWeb"/>
        <w:spacing w:before="0" w:beforeAutospacing="0" w:after="0" w:afterAutospacing="0"/>
        <w:ind w:left="708"/>
        <w:jc w:val="both"/>
        <w:rPr>
          <w:rFonts w:ascii="gobCL" w:hAnsi="gobCL" w:cs="Arial"/>
          <w:b/>
          <w:color w:val="1F497D" w:themeColor="text2"/>
        </w:rPr>
      </w:pPr>
      <w:r w:rsidRPr="005F478C">
        <w:rPr>
          <w:rFonts w:ascii="gobCL" w:hAnsi="gobCL" w:cs="Arial"/>
          <w:b/>
          <w:color w:val="1F497D" w:themeColor="text2"/>
        </w:rPr>
        <w:t xml:space="preserve">Si no paga la primera anualidad, dentro de los 15 días hábiles siguientes de </w:t>
      </w:r>
      <w:r>
        <w:rPr>
          <w:rFonts w:ascii="gobCL" w:hAnsi="gobCL" w:cs="Arial"/>
          <w:b/>
          <w:color w:val="1F497D" w:themeColor="text2"/>
        </w:rPr>
        <w:t>efectuada la subasta</w:t>
      </w:r>
      <w:r w:rsidRPr="005F478C">
        <w:rPr>
          <w:rFonts w:ascii="gobCL" w:hAnsi="gobCL" w:cs="Arial"/>
          <w:b/>
          <w:color w:val="1F497D" w:themeColor="text2"/>
        </w:rPr>
        <w:t xml:space="preserve"> se hace efectiva la garantía.</w:t>
      </w:r>
    </w:p>
    <w:p w:rsidR="005F478C" w:rsidRPr="005F478C" w:rsidRDefault="005F478C" w:rsidP="005F478C">
      <w:pPr>
        <w:pStyle w:val="NormalWeb"/>
        <w:spacing w:before="0" w:beforeAutospacing="0" w:after="0" w:afterAutospacing="0"/>
        <w:ind w:left="360"/>
        <w:jc w:val="both"/>
        <w:rPr>
          <w:rFonts w:ascii="gobCL" w:hAnsi="gobCL" w:cs="Arial"/>
          <w:b/>
          <w:color w:val="1F497D" w:themeColor="text2"/>
        </w:rPr>
      </w:pPr>
    </w:p>
    <w:p w:rsidR="00FC6D53" w:rsidRDefault="00FC6D53" w:rsidP="005F478C">
      <w:pPr>
        <w:pStyle w:val="NormalWeb"/>
        <w:spacing w:before="0" w:beforeAutospacing="0" w:after="0" w:afterAutospacing="0"/>
        <w:ind w:left="708"/>
        <w:jc w:val="both"/>
        <w:rPr>
          <w:rFonts w:ascii="gobCL" w:hAnsi="gobCL" w:cs="Arial"/>
          <w:b/>
          <w:color w:val="1F497D" w:themeColor="text2"/>
        </w:rPr>
      </w:pPr>
    </w:p>
    <w:p w:rsidR="005F478C" w:rsidRDefault="005F478C" w:rsidP="005F478C">
      <w:pPr>
        <w:pStyle w:val="NormalWeb"/>
        <w:spacing w:before="0" w:beforeAutospacing="0" w:after="0" w:afterAutospacing="0"/>
        <w:ind w:left="708"/>
        <w:jc w:val="both"/>
        <w:rPr>
          <w:rFonts w:ascii="gobCL" w:hAnsi="gobCL" w:cs="Arial"/>
          <w:b/>
          <w:color w:val="1F497D" w:themeColor="text2"/>
        </w:rPr>
      </w:pPr>
      <w:r w:rsidRPr="005F478C">
        <w:rPr>
          <w:rFonts w:ascii="gobCL" w:hAnsi="gobCL" w:cs="Arial"/>
          <w:b/>
          <w:color w:val="1F497D" w:themeColor="text2"/>
        </w:rPr>
        <w:t>Dicho lote se vuelve a subastar, 30 días hábiles siguientes de haberse constatado el desistimiento. De acuerdo a lo dispuesto en los incisos 1 y 2° del Reglamento de Subasta de LTP B.</w:t>
      </w:r>
    </w:p>
    <w:p w:rsidR="005F478C" w:rsidRPr="005F478C" w:rsidRDefault="005F478C" w:rsidP="005F478C">
      <w:pPr>
        <w:pStyle w:val="NormalWeb"/>
        <w:spacing w:before="0" w:beforeAutospacing="0" w:after="0" w:afterAutospacing="0"/>
        <w:ind w:left="360"/>
        <w:jc w:val="both"/>
        <w:rPr>
          <w:rFonts w:ascii="gobCL" w:hAnsi="gobCL"/>
          <w:b/>
          <w:color w:val="1F497D" w:themeColor="text2"/>
        </w:rPr>
      </w:pPr>
    </w:p>
    <w:p w:rsidR="005F478C" w:rsidRPr="005F478C" w:rsidRDefault="005F478C" w:rsidP="005F478C">
      <w:pPr>
        <w:pStyle w:val="NormalWeb"/>
        <w:numPr>
          <w:ilvl w:val="0"/>
          <w:numId w:val="36"/>
        </w:numPr>
        <w:spacing w:before="0" w:beforeAutospacing="0" w:after="200" w:afterAutospacing="0"/>
        <w:jc w:val="both"/>
        <w:rPr>
          <w:rFonts w:ascii="gobCL" w:hAnsi="gobCL" w:cs="Arial"/>
          <w:color w:val="000000"/>
          <w:sz w:val="22"/>
          <w:szCs w:val="22"/>
        </w:rPr>
      </w:pPr>
      <w:r w:rsidRPr="005F478C">
        <w:rPr>
          <w:rFonts w:ascii="gobCL" w:hAnsi="gobCL" w:cs="Arial"/>
          <w:color w:val="000000"/>
        </w:rPr>
        <w:t>El hecho que no se haya pagado la primera cuota de algunos lotes adjudicados, tiene algún efecto en aquellos lotes en que sí se pagó la primera cuota</w:t>
      </w:r>
      <w:proofErr w:type="gramStart"/>
      <w:r w:rsidRPr="005F478C">
        <w:rPr>
          <w:rFonts w:ascii="gobCL" w:hAnsi="gobCL" w:cs="Arial"/>
          <w:color w:val="000000"/>
        </w:rPr>
        <w:t>?</w:t>
      </w:r>
      <w:proofErr w:type="gramEnd"/>
    </w:p>
    <w:p w:rsidR="005F478C" w:rsidRPr="005F478C" w:rsidRDefault="005F478C" w:rsidP="005F478C">
      <w:pPr>
        <w:pStyle w:val="NormalWeb"/>
        <w:spacing w:before="0" w:beforeAutospacing="0" w:after="200" w:afterAutospacing="0"/>
        <w:ind w:firstLine="708"/>
        <w:jc w:val="both"/>
        <w:rPr>
          <w:rFonts w:ascii="gobCL" w:hAnsi="gobCL" w:cs="Arial"/>
          <w:b/>
          <w:color w:val="1F497D" w:themeColor="text2"/>
          <w:sz w:val="22"/>
          <w:szCs w:val="22"/>
        </w:rPr>
      </w:pPr>
      <w:r w:rsidRPr="005F478C">
        <w:rPr>
          <w:rFonts w:ascii="gobCL" w:hAnsi="gobCL" w:cs="Arial"/>
          <w:b/>
          <w:color w:val="1F497D" w:themeColor="text2"/>
        </w:rPr>
        <w:t>No tiene efecto, son lotes independientes.</w:t>
      </w:r>
    </w:p>
    <w:p w:rsidR="005F478C" w:rsidRPr="005F478C" w:rsidRDefault="005F478C" w:rsidP="005F478C">
      <w:pPr>
        <w:pStyle w:val="NormalWeb"/>
        <w:spacing w:before="0" w:beforeAutospacing="0" w:after="200" w:afterAutospacing="0"/>
        <w:ind w:left="705" w:hanging="705"/>
        <w:jc w:val="both"/>
        <w:rPr>
          <w:rFonts w:ascii="gobCL" w:hAnsi="gobCL"/>
        </w:rPr>
      </w:pPr>
      <w:r>
        <w:rPr>
          <w:rFonts w:ascii="gobCL" w:hAnsi="gobCL" w:cs="Arial"/>
          <w:color w:val="000000"/>
        </w:rPr>
        <w:t xml:space="preserve">61. </w:t>
      </w:r>
      <w:r w:rsidRPr="005F478C">
        <w:rPr>
          <w:rFonts w:ascii="gobCL" w:hAnsi="gobCL" w:cs="Arial"/>
          <w:color w:val="000000"/>
        </w:rPr>
        <w:t xml:space="preserve"> </w:t>
      </w:r>
      <w:r>
        <w:rPr>
          <w:rFonts w:ascii="gobCL" w:hAnsi="gobCL" w:cs="Arial"/>
          <w:color w:val="000000"/>
        </w:rPr>
        <w:tab/>
      </w:r>
      <w:r w:rsidRPr="005F478C">
        <w:rPr>
          <w:rFonts w:ascii="gobCL" w:hAnsi="gobCL" w:cs="Arial"/>
          <w:color w:val="000000"/>
        </w:rPr>
        <w:t>Cuando se procede a efectuar una segunda subasta de algún lote como consecuencia del no pago de la anualidad, ya sea esta la primera o cualquiera otra posterior a ésta y en dicha subasta se vuelve a declarar desierta su adjudicación, la Ley y el Reglamento de subastas establece que la cuota de dicho lote no será reasignado.</w:t>
      </w:r>
    </w:p>
    <w:p w:rsidR="005F478C" w:rsidRPr="005F478C" w:rsidRDefault="005F478C" w:rsidP="001672BE">
      <w:pPr>
        <w:pStyle w:val="NormalWeb"/>
        <w:spacing w:before="0" w:beforeAutospacing="0" w:after="200" w:afterAutospacing="0"/>
        <w:ind w:firstLine="705"/>
        <w:jc w:val="both"/>
        <w:rPr>
          <w:rFonts w:ascii="gobCL" w:hAnsi="gobCL"/>
        </w:rPr>
      </w:pPr>
      <w:r w:rsidRPr="005F478C">
        <w:rPr>
          <w:rFonts w:ascii="gobCL" w:hAnsi="gobCL" w:cs="Arial"/>
          <w:color w:val="000000"/>
        </w:rPr>
        <w:t>La consulta es sobre el alcance de esta no adjudicación:</w:t>
      </w:r>
    </w:p>
    <w:p w:rsidR="005F478C" w:rsidRPr="001672BE" w:rsidRDefault="005F478C" w:rsidP="005F478C">
      <w:pPr>
        <w:pStyle w:val="NormalWeb"/>
        <w:numPr>
          <w:ilvl w:val="0"/>
          <w:numId w:val="37"/>
        </w:numPr>
        <w:spacing w:before="0" w:beforeAutospacing="0" w:after="0" w:afterAutospacing="0"/>
        <w:jc w:val="both"/>
        <w:rPr>
          <w:rFonts w:ascii="gobCL" w:hAnsi="gobCL"/>
        </w:rPr>
      </w:pPr>
      <w:r w:rsidRPr="005F478C">
        <w:rPr>
          <w:rFonts w:ascii="gobCL" w:hAnsi="gobCL" w:cs="Arial"/>
        </w:rPr>
        <w:t>Tiene vigencia por 20 años, si es que no se pagó la primera cuota.</w:t>
      </w:r>
    </w:p>
    <w:p w:rsidR="001672BE" w:rsidRDefault="001672BE" w:rsidP="001672BE">
      <w:pPr>
        <w:pStyle w:val="NormalWeb"/>
        <w:spacing w:before="0" w:beforeAutospacing="0" w:after="0" w:afterAutospacing="0"/>
        <w:ind w:firstLine="708"/>
        <w:jc w:val="both"/>
        <w:rPr>
          <w:rFonts w:ascii="gobCL" w:hAnsi="gobCL" w:cs="Arial"/>
          <w:b/>
          <w:color w:val="1F497D" w:themeColor="text2"/>
        </w:rPr>
      </w:pPr>
    </w:p>
    <w:p w:rsidR="001672BE" w:rsidRDefault="001672BE" w:rsidP="001672BE">
      <w:pPr>
        <w:pStyle w:val="NormalWeb"/>
        <w:spacing w:before="0" w:beforeAutospacing="0" w:after="0" w:afterAutospacing="0"/>
        <w:ind w:firstLine="708"/>
        <w:jc w:val="both"/>
        <w:rPr>
          <w:rFonts w:ascii="gobCL" w:hAnsi="gobCL" w:cs="Arial"/>
          <w:b/>
          <w:color w:val="1F497D" w:themeColor="text2"/>
        </w:rPr>
      </w:pPr>
      <w:r w:rsidRPr="001672BE">
        <w:rPr>
          <w:rFonts w:ascii="gobCL" w:hAnsi="gobCL" w:cs="Arial"/>
          <w:b/>
          <w:color w:val="1F497D" w:themeColor="text2"/>
        </w:rPr>
        <w:t>S</w:t>
      </w:r>
      <w:r w:rsidR="003B06CF">
        <w:rPr>
          <w:rFonts w:ascii="gobCL" w:hAnsi="gobCL" w:cs="Arial"/>
          <w:b/>
          <w:color w:val="1F497D" w:themeColor="text2"/>
        </w:rPr>
        <w:t>í,</w:t>
      </w:r>
      <w:r w:rsidRPr="001672BE">
        <w:rPr>
          <w:rFonts w:ascii="gobCL" w:hAnsi="gobCL" w:cs="Arial"/>
          <w:b/>
          <w:color w:val="1F497D" w:themeColor="text2"/>
        </w:rPr>
        <w:t xml:space="preserve"> tiene vigencia por 20 años</w:t>
      </w:r>
      <w:r w:rsidR="003B06CF">
        <w:rPr>
          <w:rFonts w:ascii="gobCL" w:hAnsi="gobCL" w:cs="Arial"/>
          <w:b/>
          <w:color w:val="1F497D" w:themeColor="text2"/>
        </w:rPr>
        <w:t>.</w:t>
      </w:r>
    </w:p>
    <w:p w:rsidR="001672BE" w:rsidRPr="001672BE" w:rsidRDefault="001672BE" w:rsidP="001672BE">
      <w:pPr>
        <w:pStyle w:val="NormalWeb"/>
        <w:spacing w:before="0" w:beforeAutospacing="0" w:after="0" w:afterAutospacing="0"/>
        <w:ind w:firstLine="708"/>
        <w:jc w:val="both"/>
        <w:rPr>
          <w:rFonts w:ascii="gobCL" w:hAnsi="gobCL"/>
          <w:b/>
          <w:color w:val="1F497D" w:themeColor="text2"/>
        </w:rPr>
      </w:pPr>
    </w:p>
    <w:p w:rsidR="005F478C" w:rsidRPr="001672BE" w:rsidRDefault="005F478C" w:rsidP="005F478C">
      <w:pPr>
        <w:pStyle w:val="NormalWeb"/>
        <w:numPr>
          <w:ilvl w:val="0"/>
          <w:numId w:val="37"/>
        </w:numPr>
        <w:spacing w:before="0" w:beforeAutospacing="0" w:after="0" w:afterAutospacing="0"/>
        <w:jc w:val="both"/>
        <w:rPr>
          <w:rFonts w:ascii="gobCL" w:hAnsi="gobCL" w:cs="Arial"/>
          <w:color w:val="000000"/>
          <w:sz w:val="22"/>
          <w:szCs w:val="22"/>
        </w:rPr>
      </w:pPr>
      <w:r w:rsidRPr="005F478C">
        <w:rPr>
          <w:rFonts w:ascii="gobCL" w:hAnsi="gobCL" w:cs="Arial"/>
          <w:color w:val="000000"/>
        </w:rPr>
        <w:t>Tiene vigencia por el tiempo que le resta de su vigencia si la cuota no pagada es posterior a la primera.</w:t>
      </w:r>
    </w:p>
    <w:p w:rsidR="001672BE" w:rsidRDefault="001672BE" w:rsidP="001672BE">
      <w:pPr>
        <w:pStyle w:val="NormalWeb"/>
        <w:spacing w:before="0" w:beforeAutospacing="0" w:after="0" w:afterAutospacing="0"/>
        <w:ind w:firstLine="708"/>
        <w:jc w:val="both"/>
        <w:rPr>
          <w:rFonts w:ascii="gobCL" w:hAnsi="gobCL" w:cs="Arial"/>
          <w:b/>
          <w:color w:val="1F497D" w:themeColor="text2"/>
        </w:rPr>
      </w:pPr>
    </w:p>
    <w:p w:rsidR="001672BE" w:rsidRDefault="003B06CF" w:rsidP="001672BE">
      <w:pPr>
        <w:pStyle w:val="NormalWeb"/>
        <w:spacing w:before="0" w:beforeAutospacing="0" w:after="0" w:afterAutospacing="0"/>
        <w:ind w:firstLine="708"/>
        <w:jc w:val="both"/>
        <w:rPr>
          <w:rFonts w:ascii="gobCL" w:hAnsi="gobCL" w:cs="Arial"/>
          <w:b/>
          <w:color w:val="1F497D" w:themeColor="text2"/>
        </w:rPr>
      </w:pPr>
      <w:r>
        <w:rPr>
          <w:rFonts w:ascii="gobCL" w:hAnsi="gobCL" w:cs="Arial"/>
          <w:b/>
          <w:color w:val="1F497D" w:themeColor="text2"/>
        </w:rPr>
        <w:t>Así es, p</w:t>
      </w:r>
      <w:r w:rsidR="001672BE" w:rsidRPr="001672BE">
        <w:rPr>
          <w:rFonts w:ascii="gobCL" w:hAnsi="gobCL" w:cs="Arial"/>
          <w:b/>
          <w:color w:val="1F497D" w:themeColor="text2"/>
        </w:rPr>
        <w:t>or el tiempo que resta</w:t>
      </w:r>
      <w:r>
        <w:rPr>
          <w:rFonts w:ascii="gobCL" w:hAnsi="gobCL" w:cs="Arial"/>
          <w:b/>
          <w:color w:val="1F497D" w:themeColor="text2"/>
        </w:rPr>
        <w:t>.</w:t>
      </w:r>
    </w:p>
    <w:p w:rsidR="001672BE" w:rsidRPr="001672BE" w:rsidRDefault="001672BE" w:rsidP="001672BE">
      <w:pPr>
        <w:pStyle w:val="NormalWeb"/>
        <w:spacing w:before="0" w:beforeAutospacing="0" w:after="0" w:afterAutospacing="0"/>
        <w:ind w:firstLine="708"/>
        <w:jc w:val="both"/>
        <w:rPr>
          <w:rFonts w:ascii="gobCL" w:hAnsi="gobCL" w:cs="Arial"/>
          <w:b/>
          <w:color w:val="1F497D" w:themeColor="text2"/>
          <w:sz w:val="22"/>
          <w:szCs w:val="22"/>
        </w:rPr>
      </w:pPr>
    </w:p>
    <w:p w:rsidR="005F478C" w:rsidRPr="005F478C" w:rsidRDefault="005F478C" w:rsidP="005F478C">
      <w:pPr>
        <w:pStyle w:val="NormalWeb"/>
        <w:numPr>
          <w:ilvl w:val="0"/>
          <w:numId w:val="37"/>
        </w:numPr>
        <w:spacing w:before="0" w:beforeAutospacing="0" w:after="200" w:afterAutospacing="0"/>
        <w:jc w:val="both"/>
        <w:rPr>
          <w:rFonts w:ascii="gobCL" w:hAnsi="gobCL" w:cs="Arial"/>
          <w:color w:val="000000"/>
          <w:sz w:val="22"/>
          <w:szCs w:val="22"/>
        </w:rPr>
      </w:pPr>
      <w:r w:rsidRPr="005F478C">
        <w:rPr>
          <w:rFonts w:ascii="gobCL" w:hAnsi="gobCL" w:cs="Arial"/>
          <w:color w:val="000000"/>
        </w:rPr>
        <w:t>Tiene algún efecto en el fraccionamiento de las cuotas globales anuales de los años siguientes.</w:t>
      </w:r>
    </w:p>
    <w:p w:rsidR="00150323" w:rsidRDefault="002C3E87" w:rsidP="003B06CF">
      <w:pPr>
        <w:spacing w:line="240" w:lineRule="auto"/>
        <w:ind w:left="705"/>
        <w:jc w:val="both"/>
        <w:rPr>
          <w:rFonts w:ascii="gobCL" w:hAnsi="gobCL"/>
          <w:b/>
          <w:color w:val="1F497D" w:themeColor="text2"/>
          <w:sz w:val="24"/>
          <w:szCs w:val="24"/>
        </w:rPr>
      </w:pPr>
      <w:r>
        <w:rPr>
          <w:rFonts w:ascii="gobCL" w:hAnsi="gobCL"/>
          <w:b/>
          <w:color w:val="1F497D" w:themeColor="text2"/>
          <w:sz w:val="24"/>
          <w:szCs w:val="24"/>
        </w:rPr>
        <w:t xml:space="preserve">Recordar lo </w:t>
      </w:r>
      <w:r w:rsidR="003B06CF">
        <w:rPr>
          <w:rFonts w:ascii="gobCL" w:hAnsi="gobCL"/>
          <w:b/>
          <w:color w:val="1F497D" w:themeColor="text2"/>
          <w:sz w:val="24"/>
          <w:szCs w:val="24"/>
        </w:rPr>
        <w:t>señalado</w:t>
      </w:r>
      <w:r>
        <w:rPr>
          <w:rFonts w:ascii="gobCL" w:hAnsi="gobCL"/>
          <w:b/>
          <w:color w:val="1F497D" w:themeColor="text2"/>
          <w:sz w:val="24"/>
          <w:szCs w:val="24"/>
        </w:rPr>
        <w:t xml:space="preserve"> en el artículo 27</w:t>
      </w:r>
      <w:r w:rsidR="003B06CF">
        <w:rPr>
          <w:rFonts w:ascii="gobCL" w:hAnsi="gobCL"/>
          <w:b/>
          <w:color w:val="1F497D" w:themeColor="text2"/>
          <w:sz w:val="24"/>
          <w:szCs w:val="24"/>
        </w:rPr>
        <w:t xml:space="preserve"> de LGPA</w:t>
      </w:r>
      <w:r>
        <w:rPr>
          <w:rFonts w:ascii="gobCL" w:hAnsi="gobCL"/>
          <w:b/>
          <w:color w:val="1F497D" w:themeColor="text2"/>
          <w:sz w:val="24"/>
          <w:szCs w:val="24"/>
        </w:rPr>
        <w:t xml:space="preserve"> que e</w:t>
      </w:r>
      <w:r w:rsidR="003B06CF">
        <w:rPr>
          <w:rFonts w:ascii="gobCL" w:hAnsi="gobCL"/>
          <w:b/>
          <w:color w:val="1F497D" w:themeColor="text2"/>
          <w:sz w:val="24"/>
          <w:szCs w:val="24"/>
        </w:rPr>
        <w:t>n lo pertinente establece que “</w:t>
      </w:r>
      <w:r w:rsidRPr="003B06CF">
        <w:rPr>
          <w:rFonts w:ascii="gobCL" w:hAnsi="gobCL"/>
          <w:b/>
          <w:i/>
          <w:color w:val="1F497D" w:themeColor="text2"/>
          <w:sz w:val="24"/>
          <w:szCs w:val="24"/>
        </w:rPr>
        <w:t xml:space="preserve">en el caso que una subasta se declare desierta, se podrá hacer un </w:t>
      </w:r>
      <w:r w:rsidR="003B06CF" w:rsidRPr="003B06CF">
        <w:rPr>
          <w:rFonts w:ascii="gobCL" w:hAnsi="gobCL"/>
          <w:b/>
          <w:i/>
          <w:color w:val="1F497D" w:themeColor="text2"/>
          <w:sz w:val="24"/>
          <w:szCs w:val="24"/>
        </w:rPr>
        <w:t>segundo</w:t>
      </w:r>
      <w:r w:rsidRPr="003B06CF">
        <w:rPr>
          <w:rFonts w:ascii="gobCL" w:hAnsi="gobCL"/>
          <w:b/>
          <w:i/>
          <w:color w:val="1F497D" w:themeColor="text2"/>
          <w:sz w:val="24"/>
          <w:szCs w:val="24"/>
        </w:rPr>
        <w:t xml:space="preserve"> llamado. Si esta última también se </w:t>
      </w:r>
      <w:r w:rsidR="003B06CF" w:rsidRPr="003B06CF">
        <w:rPr>
          <w:rFonts w:ascii="gobCL" w:hAnsi="gobCL"/>
          <w:b/>
          <w:i/>
          <w:color w:val="1F497D" w:themeColor="text2"/>
          <w:sz w:val="24"/>
          <w:szCs w:val="24"/>
        </w:rPr>
        <w:t>declara</w:t>
      </w:r>
      <w:r w:rsidRPr="003B06CF">
        <w:rPr>
          <w:rFonts w:ascii="gobCL" w:hAnsi="gobCL"/>
          <w:b/>
          <w:i/>
          <w:color w:val="1F497D" w:themeColor="text2"/>
          <w:sz w:val="24"/>
          <w:szCs w:val="24"/>
        </w:rPr>
        <w:t xml:space="preserve"> desierta, las toneladas </w:t>
      </w:r>
      <w:r w:rsidR="003B06CF" w:rsidRPr="003B06CF">
        <w:rPr>
          <w:rFonts w:ascii="gobCL" w:hAnsi="gobCL"/>
          <w:b/>
          <w:i/>
          <w:color w:val="1F497D" w:themeColor="text2"/>
          <w:sz w:val="24"/>
          <w:szCs w:val="24"/>
        </w:rPr>
        <w:t>correspondientes</w:t>
      </w:r>
      <w:r w:rsidRPr="003B06CF">
        <w:rPr>
          <w:rFonts w:ascii="gobCL" w:hAnsi="gobCL"/>
          <w:b/>
          <w:i/>
          <w:color w:val="1F497D" w:themeColor="text2"/>
          <w:sz w:val="24"/>
          <w:szCs w:val="24"/>
        </w:rPr>
        <w:t xml:space="preserve"> no </w:t>
      </w:r>
      <w:r w:rsidR="003B06CF" w:rsidRPr="003B06CF">
        <w:rPr>
          <w:rFonts w:ascii="gobCL" w:hAnsi="gobCL"/>
          <w:b/>
          <w:i/>
          <w:color w:val="1F497D" w:themeColor="text2"/>
          <w:sz w:val="24"/>
          <w:szCs w:val="24"/>
        </w:rPr>
        <w:t>serán</w:t>
      </w:r>
      <w:r w:rsidRPr="003B06CF">
        <w:rPr>
          <w:rFonts w:ascii="gobCL" w:hAnsi="gobCL"/>
          <w:b/>
          <w:i/>
          <w:color w:val="1F497D" w:themeColor="text2"/>
          <w:sz w:val="24"/>
          <w:szCs w:val="24"/>
        </w:rPr>
        <w:t xml:space="preserve"> asignadas a ningún actor</w:t>
      </w:r>
      <w:r>
        <w:rPr>
          <w:rFonts w:ascii="gobCL" w:hAnsi="gobCL"/>
          <w:b/>
          <w:color w:val="1F497D" w:themeColor="text2"/>
          <w:sz w:val="24"/>
          <w:szCs w:val="24"/>
        </w:rPr>
        <w:t>.</w:t>
      </w:r>
      <w:r w:rsidR="003B06CF">
        <w:rPr>
          <w:rFonts w:ascii="gobCL" w:hAnsi="gobCL"/>
          <w:b/>
          <w:color w:val="1F497D" w:themeColor="text2"/>
          <w:sz w:val="24"/>
          <w:szCs w:val="24"/>
        </w:rPr>
        <w:t>”</w:t>
      </w:r>
    </w:p>
    <w:p w:rsidR="003B06CF" w:rsidRPr="005F478C" w:rsidRDefault="003B06CF" w:rsidP="003B06CF">
      <w:pPr>
        <w:spacing w:line="240" w:lineRule="auto"/>
        <w:ind w:left="705"/>
        <w:jc w:val="both"/>
        <w:rPr>
          <w:rFonts w:ascii="gobCL" w:hAnsi="gobCL"/>
          <w:b/>
          <w:color w:val="1F497D" w:themeColor="text2"/>
          <w:sz w:val="24"/>
          <w:szCs w:val="24"/>
        </w:rPr>
      </w:pPr>
      <w:r>
        <w:rPr>
          <w:rFonts w:ascii="gobCL" w:hAnsi="gobCL"/>
          <w:b/>
          <w:color w:val="1F497D" w:themeColor="text2"/>
          <w:sz w:val="24"/>
          <w:szCs w:val="24"/>
        </w:rPr>
        <w:t>En otras palabras ese lote queda como reserva hasta el siguiente proceso licitatorio, ya sea en 20 años más o los años que resten de la licencia, para un nuevo llamado de subasta.</w:t>
      </w:r>
    </w:p>
    <w:p w:rsidR="00535C1C" w:rsidRPr="005F478C" w:rsidRDefault="00535C1C" w:rsidP="005F478C">
      <w:pPr>
        <w:spacing w:line="240" w:lineRule="auto"/>
        <w:jc w:val="both"/>
        <w:rPr>
          <w:rFonts w:ascii="gobCL" w:hAnsi="gobCL"/>
          <w:sz w:val="24"/>
          <w:szCs w:val="24"/>
        </w:rPr>
      </w:pPr>
    </w:p>
    <w:p w:rsidR="00FC6D53" w:rsidRDefault="00FC6D53" w:rsidP="00E72F2B">
      <w:pPr>
        <w:spacing w:line="240" w:lineRule="auto"/>
        <w:ind w:left="705" w:hanging="705"/>
        <w:jc w:val="both"/>
        <w:rPr>
          <w:rFonts w:ascii="gobCL" w:hAnsi="gobCL"/>
          <w:sz w:val="24"/>
          <w:szCs w:val="24"/>
        </w:rPr>
      </w:pPr>
    </w:p>
    <w:p w:rsidR="00E72F2B" w:rsidRPr="00FC6D53" w:rsidRDefault="00E72F2B" w:rsidP="00E72F2B">
      <w:pPr>
        <w:spacing w:line="240" w:lineRule="auto"/>
        <w:ind w:left="705" w:hanging="705"/>
        <w:jc w:val="both"/>
        <w:rPr>
          <w:rFonts w:ascii="gobCL" w:hAnsi="gobCL"/>
          <w:sz w:val="24"/>
          <w:szCs w:val="24"/>
        </w:rPr>
      </w:pPr>
      <w:r>
        <w:rPr>
          <w:rFonts w:ascii="gobCL" w:hAnsi="gobCL"/>
          <w:sz w:val="24"/>
          <w:szCs w:val="24"/>
        </w:rPr>
        <w:t xml:space="preserve">62. </w:t>
      </w:r>
      <w:r>
        <w:rPr>
          <w:rFonts w:ascii="gobCL" w:hAnsi="gobCL"/>
          <w:sz w:val="24"/>
          <w:szCs w:val="24"/>
        </w:rPr>
        <w:tab/>
      </w:r>
      <w:r w:rsidRPr="00FC6D53">
        <w:rPr>
          <w:rFonts w:ascii="gobCL" w:hAnsi="gobCL"/>
          <w:sz w:val="24"/>
          <w:szCs w:val="24"/>
        </w:rPr>
        <w:t>¿Si una empresa no presenta el sobre de desempate, podría ser considerada inadmisible por falta de presentación de documentos?</w:t>
      </w:r>
    </w:p>
    <w:p w:rsidR="00E72F2B" w:rsidRPr="00FC6D53" w:rsidRDefault="00E72F2B" w:rsidP="00E72F2B">
      <w:pPr>
        <w:overflowPunct w:val="0"/>
        <w:autoSpaceDE w:val="0"/>
        <w:autoSpaceDN w:val="0"/>
        <w:adjustRightInd w:val="0"/>
        <w:spacing w:after="0" w:line="240" w:lineRule="auto"/>
        <w:ind w:left="708"/>
        <w:jc w:val="both"/>
        <w:textAlignment w:val="baseline"/>
        <w:rPr>
          <w:rFonts w:ascii="gobCL" w:eastAsia="Times New Roman" w:hAnsi="gobCL" w:cs="Times New Roman"/>
          <w:b/>
          <w:color w:val="1F497D" w:themeColor="text2"/>
          <w:sz w:val="24"/>
          <w:szCs w:val="24"/>
          <w:lang w:val="es-ES_tradnl" w:eastAsia="es-ES"/>
        </w:rPr>
      </w:pPr>
      <w:r w:rsidRPr="00FC6D53">
        <w:rPr>
          <w:rFonts w:ascii="gobCL" w:hAnsi="gobCL"/>
          <w:b/>
          <w:color w:val="1F497D" w:themeColor="text2"/>
          <w:sz w:val="24"/>
          <w:szCs w:val="24"/>
        </w:rPr>
        <w:t>No se considera inadmisible su presentación, toda vez que como se señala en</w:t>
      </w:r>
      <w:r w:rsidRPr="00FC6D53">
        <w:rPr>
          <w:rFonts w:ascii="gobCL" w:eastAsia="Times New Roman" w:hAnsi="gobCL" w:cs="Times New Roman"/>
          <w:b/>
          <w:color w:val="1F497D" w:themeColor="text2"/>
          <w:sz w:val="24"/>
          <w:szCs w:val="24"/>
          <w:lang w:val="es-ES_tradnl" w:eastAsia="es-ES"/>
        </w:rPr>
        <w:t xml:space="preserve"> el punto 13 de las bases administrativas en el desempate solo podrán participar a</w:t>
      </w:r>
      <w:bookmarkStart w:id="0" w:name="_GoBack"/>
      <w:bookmarkEnd w:id="0"/>
      <w:r w:rsidRPr="00FC6D53">
        <w:rPr>
          <w:rFonts w:ascii="gobCL" w:eastAsia="Times New Roman" w:hAnsi="gobCL" w:cs="Times New Roman"/>
          <w:b/>
          <w:color w:val="1F497D" w:themeColor="text2"/>
          <w:sz w:val="24"/>
          <w:szCs w:val="24"/>
          <w:lang w:val="es-ES_tradnl" w:eastAsia="es-ES"/>
        </w:rPr>
        <w:t>quellos oferentes empatados que hayan presentado sobre de desempate de conformidad a lo dispuesto en el punto 6 de las bases.</w:t>
      </w:r>
    </w:p>
    <w:p w:rsidR="00E72F2B" w:rsidRPr="00FC6D53" w:rsidRDefault="00E72F2B" w:rsidP="00E72F2B">
      <w:pPr>
        <w:overflowPunct w:val="0"/>
        <w:autoSpaceDE w:val="0"/>
        <w:autoSpaceDN w:val="0"/>
        <w:adjustRightInd w:val="0"/>
        <w:spacing w:after="0" w:line="240" w:lineRule="auto"/>
        <w:contextualSpacing/>
        <w:jc w:val="both"/>
        <w:textAlignment w:val="baseline"/>
        <w:rPr>
          <w:rFonts w:ascii="gobCL" w:eastAsia="Times New Roman" w:hAnsi="gobCL" w:cs="Arial"/>
          <w:b/>
          <w:color w:val="1F497D" w:themeColor="text2"/>
          <w:sz w:val="24"/>
          <w:szCs w:val="24"/>
          <w:lang w:val="es-ES_tradnl" w:eastAsia="es-ES"/>
        </w:rPr>
      </w:pPr>
    </w:p>
    <w:p w:rsidR="00E72F2B" w:rsidRPr="00FC6D53" w:rsidRDefault="00E72F2B" w:rsidP="00E72F2B">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sz w:val="24"/>
          <w:szCs w:val="24"/>
          <w:lang w:val="es-ES_tradnl" w:eastAsia="es-ES"/>
        </w:rPr>
      </w:pPr>
      <w:r w:rsidRPr="00FC6D53">
        <w:rPr>
          <w:rFonts w:ascii="gobCL" w:eastAsia="Times New Roman" w:hAnsi="gobCL" w:cs="Arial"/>
          <w:b/>
          <w:color w:val="1F497D" w:themeColor="text2"/>
          <w:sz w:val="24"/>
          <w:szCs w:val="24"/>
          <w:lang w:val="es-ES_tradnl" w:eastAsia="es-ES"/>
        </w:rPr>
        <w:t>Si ninguno de los oferentes empatados hubiera presentado el sobre de desempate, o el empate continúe una vez abiertos los sobres de desempate, se procederá a un sorteo para dirimir el empate entre los oferentes que se encuentren en esta situación y proceder a la adjudicación del lote respectivo.</w:t>
      </w:r>
    </w:p>
    <w:sectPr w:rsidR="00E72F2B" w:rsidRPr="00FC6D53" w:rsidSect="003124FF">
      <w:headerReference w:type="default" r:id="rId11"/>
      <w:footerReference w:type="default" r:id="rId12"/>
      <w:pgSz w:w="12240" w:h="18720" w:code="14"/>
      <w:pgMar w:top="851" w:right="1191" w:bottom="2552"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39" w:rsidRDefault="008D1739">
      <w:pPr>
        <w:spacing w:after="0" w:line="240" w:lineRule="auto"/>
      </w:pPr>
      <w:r>
        <w:separator/>
      </w:r>
    </w:p>
  </w:endnote>
  <w:endnote w:type="continuationSeparator" w:id="0">
    <w:p w:rsidR="008D1739" w:rsidRDefault="008D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977303"/>
      <w:docPartObj>
        <w:docPartGallery w:val="Page Numbers (Bottom of Page)"/>
        <w:docPartUnique/>
      </w:docPartObj>
    </w:sdtPr>
    <w:sdtEndPr/>
    <w:sdtContent>
      <w:p w:rsidR="001368B4" w:rsidRDefault="005024D0">
        <w:pPr>
          <w:pStyle w:val="Piedepgina"/>
          <w:jc w:val="right"/>
        </w:pPr>
        <w:r>
          <w:fldChar w:fldCharType="begin"/>
        </w:r>
        <w:r>
          <w:instrText>PAGE   \* MERGEFORMAT</w:instrText>
        </w:r>
        <w:r>
          <w:fldChar w:fldCharType="separate"/>
        </w:r>
        <w:r w:rsidR="00FC6D53" w:rsidRPr="00FC6D53">
          <w:rPr>
            <w:noProof/>
            <w:lang w:val="es-ES"/>
          </w:rPr>
          <w:t>7</w:t>
        </w:r>
        <w:r>
          <w:rPr>
            <w:noProof/>
            <w:lang w:val="es-ES"/>
          </w:rPr>
          <w:fldChar w:fldCharType="end"/>
        </w:r>
      </w:p>
    </w:sdtContent>
  </w:sdt>
  <w:p w:rsidR="001368B4" w:rsidRDefault="00FC6D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39" w:rsidRDefault="008D1739">
      <w:pPr>
        <w:spacing w:after="0" w:line="240" w:lineRule="auto"/>
      </w:pPr>
      <w:r>
        <w:separator/>
      </w:r>
    </w:p>
  </w:footnote>
  <w:footnote w:type="continuationSeparator" w:id="0">
    <w:p w:rsidR="008D1739" w:rsidRDefault="008D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B4" w:rsidRDefault="005024D0">
    <w:pPr>
      <w:pStyle w:val="Encabezado"/>
    </w:pPr>
    <w:r>
      <w:rPr>
        <w:noProof/>
        <w:lang w:eastAsia="es-CL"/>
      </w:rPr>
      <w:drawing>
        <wp:anchor distT="0" distB="0" distL="114300" distR="114300" simplePos="0" relativeHeight="251659264" behindDoc="1" locked="0" layoutInCell="1" allowOverlap="1" wp14:anchorId="69CBDB53" wp14:editId="4CA9E607">
          <wp:simplePos x="0" y="0"/>
          <wp:positionH relativeFrom="column">
            <wp:posOffset>-540385</wp:posOffset>
          </wp:positionH>
          <wp:positionV relativeFrom="paragraph">
            <wp:posOffset>-1905</wp:posOffset>
          </wp:positionV>
          <wp:extent cx="1654175" cy="1592580"/>
          <wp:effectExtent l="0" t="0" r="317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5AC"/>
    <w:multiLevelType w:val="hybridMultilevel"/>
    <w:tmpl w:val="796A58C8"/>
    <w:lvl w:ilvl="0" w:tplc="BAC82638">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
    <w:nsid w:val="09983626"/>
    <w:multiLevelType w:val="hybridMultilevel"/>
    <w:tmpl w:val="2490FD62"/>
    <w:lvl w:ilvl="0" w:tplc="D60C303E">
      <w:start w:val="1"/>
      <w:numFmt w:val="lowerLetter"/>
      <w:lvlText w:val="%1)"/>
      <w:lvlJc w:val="left"/>
      <w:pPr>
        <w:ind w:left="1065" w:hanging="360"/>
      </w:pPr>
      <w:rPr>
        <w:rFonts w:cs="gobCL" w:hint="default"/>
        <w:color w:val="000000"/>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
    <w:nsid w:val="145C47A0"/>
    <w:multiLevelType w:val="hybridMultilevel"/>
    <w:tmpl w:val="C88088A2"/>
    <w:lvl w:ilvl="0" w:tplc="C5B07CD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nsid w:val="1AC40AD5"/>
    <w:multiLevelType w:val="multilevel"/>
    <w:tmpl w:val="5F46759C"/>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4">
    <w:nsid w:val="1C46565B"/>
    <w:multiLevelType w:val="hybridMultilevel"/>
    <w:tmpl w:val="FBD4BBCC"/>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6535BB"/>
    <w:multiLevelType w:val="multilevel"/>
    <w:tmpl w:val="ED36E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735228"/>
    <w:multiLevelType w:val="hybridMultilevel"/>
    <w:tmpl w:val="CC4E6518"/>
    <w:lvl w:ilvl="0" w:tplc="E5DE2110">
      <w:start w:val="39"/>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231585A"/>
    <w:multiLevelType w:val="hybridMultilevel"/>
    <w:tmpl w:val="89C6EFEE"/>
    <w:lvl w:ilvl="0" w:tplc="034A69CE">
      <w:start w:val="26"/>
      <w:numFmt w:val="decimal"/>
      <w:lvlText w:val="%1."/>
      <w:lvlJc w:val="left"/>
      <w:pPr>
        <w:ind w:left="720" w:hanging="360"/>
      </w:pPr>
      <w:rPr>
        <w:rFonts w:eastAsiaTheme="minorHAnsi" w:cs="Arial"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499353E"/>
    <w:multiLevelType w:val="hybridMultilevel"/>
    <w:tmpl w:val="AFE08FF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nsid w:val="27983C21"/>
    <w:multiLevelType w:val="multilevel"/>
    <w:tmpl w:val="FB30E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8A331DC"/>
    <w:multiLevelType w:val="hybridMultilevel"/>
    <w:tmpl w:val="A9607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9E27370"/>
    <w:multiLevelType w:val="hybridMultilevel"/>
    <w:tmpl w:val="40345976"/>
    <w:lvl w:ilvl="0" w:tplc="3F3666C8">
      <w:start w:val="1"/>
      <w:numFmt w:val="lowerLetter"/>
      <w:lvlText w:val="%1)"/>
      <w:lvlJc w:val="left"/>
      <w:pPr>
        <w:ind w:left="720" w:hanging="360"/>
      </w:pPr>
      <w:rPr>
        <w:rFonts w:cs="Arial"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C6F666B"/>
    <w:multiLevelType w:val="hybridMultilevel"/>
    <w:tmpl w:val="CE66CD92"/>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91EFF6A">
      <w:start w:val="27"/>
      <w:numFmt w:val="decimal"/>
      <w:lvlText w:val="%4."/>
      <w:lvlJc w:val="left"/>
      <w:pPr>
        <w:ind w:left="3228" w:hanging="360"/>
      </w:pPr>
      <w:rPr>
        <w:rFonts w:hint="default"/>
      </w:rPr>
    </w:lvl>
    <w:lvl w:ilvl="4" w:tplc="0C0A0019">
      <w:start w:val="1"/>
      <w:numFmt w:val="lowerLetter"/>
      <w:lvlText w:val="%5."/>
      <w:lvlJc w:val="left"/>
      <w:pPr>
        <w:ind w:left="3948" w:hanging="360"/>
      </w:pPr>
    </w:lvl>
    <w:lvl w:ilvl="5" w:tplc="1790593E">
      <w:start w:val="42"/>
      <w:numFmt w:val="decimal"/>
      <w:lvlText w:val="%6"/>
      <w:lvlJc w:val="left"/>
      <w:pPr>
        <w:ind w:left="4848" w:hanging="360"/>
      </w:pPr>
      <w:rPr>
        <w:rFonts w:ascii="Calibri" w:eastAsia="Times New Roman" w:hAnsi="Calibri" w:hint="default"/>
        <w:b w:val="0"/>
        <w:color w:val="244061"/>
        <w:sz w:val="22"/>
      </w:r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DDF7118"/>
    <w:multiLevelType w:val="hybridMultilevel"/>
    <w:tmpl w:val="4FEA2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70C140E"/>
    <w:multiLevelType w:val="multilevel"/>
    <w:tmpl w:val="0F64D4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3BB37AA8"/>
    <w:multiLevelType w:val="hybridMultilevel"/>
    <w:tmpl w:val="5484A666"/>
    <w:lvl w:ilvl="0" w:tplc="1884CFEE">
      <w:start w:val="9"/>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D3A0BA1"/>
    <w:multiLevelType w:val="hybridMultilevel"/>
    <w:tmpl w:val="C548F050"/>
    <w:lvl w:ilvl="0" w:tplc="5A782256">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F9C0958"/>
    <w:multiLevelType w:val="multilevel"/>
    <w:tmpl w:val="44608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2D76E09"/>
    <w:multiLevelType w:val="hybridMultilevel"/>
    <w:tmpl w:val="47923A3C"/>
    <w:lvl w:ilvl="0" w:tplc="45AA1956">
      <w:start w:val="9"/>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9">
    <w:nsid w:val="4501045B"/>
    <w:multiLevelType w:val="hybridMultilevel"/>
    <w:tmpl w:val="95427872"/>
    <w:lvl w:ilvl="0" w:tplc="5D60828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AE0B04"/>
    <w:multiLevelType w:val="hybridMultilevel"/>
    <w:tmpl w:val="ADB81B02"/>
    <w:lvl w:ilvl="0" w:tplc="5F84A9D2">
      <w:start w:val="42"/>
      <w:numFmt w:val="decimal"/>
      <w:lvlText w:val="%1."/>
      <w:lvlJc w:val="left"/>
      <w:pPr>
        <w:ind w:left="1068" w:hanging="360"/>
      </w:pPr>
      <w:rPr>
        <w:rFonts w:eastAsia="Times New Roman" w:hint="default"/>
        <w:b w:val="0"/>
        <w:color w:val="auto"/>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4B694891"/>
    <w:multiLevelType w:val="hybridMultilevel"/>
    <w:tmpl w:val="ED44EF3C"/>
    <w:lvl w:ilvl="0" w:tplc="D3506494">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543F3C34"/>
    <w:multiLevelType w:val="hybridMultilevel"/>
    <w:tmpl w:val="51D01348"/>
    <w:lvl w:ilvl="0" w:tplc="92A400CE">
      <w:start w:val="18"/>
      <w:numFmt w:val="bullet"/>
      <w:lvlText w:val="-"/>
      <w:lvlJc w:val="left"/>
      <w:pPr>
        <w:ind w:left="1068" w:hanging="360"/>
      </w:pPr>
      <w:rPr>
        <w:rFonts w:ascii="gobCL" w:eastAsiaTheme="minorHAnsi" w:hAnsi="gobCL"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nsid w:val="54DA0166"/>
    <w:multiLevelType w:val="hybridMultilevel"/>
    <w:tmpl w:val="72A0FF70"/>
    <w:lvl w:ilvl="0" w:tplc="1778964C">
      <w:start w:val="9"/>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609F0E04"/>
    <w:multiLevelType w:val="hybridMultilevel"/>
    <w:tmpl w:val="47F6092A"/>
    <w:lvl w:ilvl="0" w:tplc="CC72A9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nsid w:val="66477E6F"/>
    <w:multiLevelType w:val="hybridMultilevel"/>
    <w:tmpl w:val="A0FC5B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79211D7"/>
    <w:multiLevelType w:val="hybridMultilevel"/>
    <w:tmpl w:val="8B64EFDE"/>
    <w:lvl w:ilvl="0" w:tplc="3E90827E">
      <w:start w:val="1"/>
      <w:numFmt w:val="lowerLetter"/>
      <w:lvlText w:val="%1)"/>
      <w:lvlJc w:val="left"/>
      <w:pPr>
        <w:ind w:left="1068" w:hanging="360"/>
      </w:pPr>
      <w:rPr>
        <w:rFonts w:ascii="Courier New" w:hAnsi="Courier New" w:cs="Courier New" w:hint="default"/>
        <w:color w:val="1F497D"/>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
    <w:nsid w:val="6E090B9C"/>
    <w:multiLevelType w:val="hybridMultilevel"/>
    <w:tmpl w:val="F51A8ABE"/>
    <w:lvl w:ilvl="0" w:tplc="9270721C">
      <w:start w:val="1"/>
      <w:numFmt w:val="lowerRoman"/>
      <w:lvlText w:val="%1)"/>
      <w:lvlJc w:val="left"/>
      <w:pPr>
        <w:ind w:left="1080" w:hanging="720"/>
      </w:pPr>
      <w:rPr>
        <w:rFonts w:cs="gobC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1E2378F"/>
    <w:multiLevelType w:val="hybridMultilevel"/>
    <w:tmpl w:val="8C30B8EE"/>
    <w:lvl w:ilvl="0" w:tplc="832819A0">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9">
    <w:nsid w:val="73F37EF4"/>
    <w:multiLevelType w:val="hybridMultilevel"/>
    <w:tmpl w:val="1708FCF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nsid w:val="73FF3C78"/>
    <w:multiLevelType w:val="hybridMultilevel"/>
    <w:tmpl w:val="34AAAB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66004EE"/>
    <w:multiLevelType w:val="hybridMultilevel"/>
    <w:tmpl w:val="8B9EA7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6E32192"/>
    <w:multiLevelType w:val="hybridMultilevel"/>
    <w:tmpl w:val="050CF7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77D4552"/>
    <w:multiLevelType w:val="multilevel"/>
    <w:tmpl w:val="2AF2F5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nsid w:val="7C406468"/>
    <w:multiLevelType w:val="hybridMultilevel"/>
    <w:tmpl w:val="B43CD6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nsid w:val="7E4906E6"/>
    <w:multiLevelType w:val="hybridMultilevel"/>
    <w:tmpl w:val="610471A0"/>
    <w:lvl w:ilvl="0" w:tplc="DBE0AF02">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6">
    <w:nsid w:val="7E5258DA"/>
    <w:multiLevelType w:val="hybridMultilevel"/>
    <w:tmpl w:val="1708FCF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6"/>
  </w:num>
  <w:num w:numId="8">
    <w:abstractNumId w:val="4"/>
  </w:num>
  <w:num w:numId="9">
    <w:abstractNumId w:val="1"/>
  </w:num>
  <w:num w:numId="10">
    <w:abstractNumId w:val="27"/>
  </w:num>
  <w:num w:numId="11">
    <w:abstractNumId w:val="15"/>
  </w:num>
  <w:num w:numId="12">
    <w:abstractNumId w:val="16"/>
  </w:num>
  <w:num w:numId="13">
    <w:abstractNumId w:val="0"/>
  </w:num>
  <w:num w:numId="14">
    <w:abstractNumId w:val="31"/>
  </w:num>
  <w:num w:numId="15">
    <w:abstractNumId w:val="2"/>
  </w:num>
  <w:num w:numId="16">
    <w:abstractNumId w:val="25"/>
  </w:num>
  <w:num w:numId="17">
    <w:abstractNumId w:val="11"/>
  </w:num>
  <w:num w:numId="18">
    <w:abstractNumId w:val="24"/>
  </w:num>
  <w:num w:numId="19">
    <w:abstractNumId w:val="12"/>
  </w:num>
  <w:num w:numId="20">
    <w:abstractNumId w:val="28"/>
  </w:num>
  <w:num w:numId="21">
    <w:abstractNumId w:val="13"/>
  </w:num>
  <w:num w:numId="22">
    <w:abstractNumId w:val="30"/>
  </w:num>
  <w:num w:numId="23">
    <w:abstractNumId w:val="10"/>
  </w:num>
  <w:num w:numId="24">
    <w:abstractNumId w:val="32"/>
  </w:num>
  <w:num w:numId="25">
    <w:abstractNumId w:val="18"/>
  </w:num>
  <w:num w:numId="26">
    <w:abstractNumId w:val="7"/>
  </w:num>
  <w:num w:numId="27">
    <w:abstractNumId w:val="21"/>
  </w:num>
  <w:num w:numId="28">
    <w:abstractNumId w:val="2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5"/>
  </w:num>
  <w:num w:numId="32">
    <w:abstractNumId w:val="20"/>
  </w:num>
  <w:num w:numId="33">
    <w:abstractNumId w:val="1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B2"/>
    <w:rsid w:val="00102224"/>
    <w:rsid w:val="0013217D"/>
    <w:rsid w:val="00150323"/>
    <w:rsid w:val="001672BE"/>
    <w:rsid w:val="00225A21"/>
    <w:rsid w:val="002C0E50"/>
    <w:rsid w:val="002C3E87"/>
    <w:rsid w:val="002D45B2"/>
    <w:rsid w:val="0030582F"/>
    <w:rsid w:val="003124FF"/>
    <w:rsid w:val="003A25D9"/>
    <w:rsid w:val="003B06CF"/>
    <w:rsid w:val="00484681"/>
    <w:rsid w:val="005024D0"/>
    <w:rsid w:val="0053584B"/>
    <w:rsid w:val="00535C1C"/>
    <w:rsid w:val="00560443"/>
    <w:rsid w:val="005F478C"/>
    <w:rsid w:val="00687D61"/>
    <w:rsid w:val="007B3AB7"/>
    <w:rsid w:val="007E21B3"/>
    <w:rsid w:val="00816868"/>
    <w:rsid w:val="008441D5"/>
    <w:rsid w:val="0086567F"/>
    <w:rsid w:val="008B7C7A"/>
    <w:rsid w:val="008D1739"/>
    <w:rsid w:val="00966735"/>
    <w:rsid w:val="00982EEB"/>
    <w:rsid w:val="00B36401"/>
    <w:rsid w:val="00B74F7E"/>
    <w:rsid w:val="00CA64EB"/>
    <w:rsid w:val="00D45CA1"/>
    <w:rsid w:val="00D716BD"/>
    <w:rsid w:val="00E72F2B"/>
    <w:rsid w:val="00F87C43"/>
    <w:rsid w:val="00FC6D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D4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45B2"/>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D45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5B2"/>
  </w:style>
  <w:style w:type="paragraph" w:styleId="Piedepgina">
    <w:name w:val="footer"/>
    <w:basedOn w:val="Normal"/>
    <w:link w:val="PiedepginaCar"/>
    <w:uiPriority w:val="99"/>
    <w:unhideWhenUsed/>
    <w:rsid w:val="002D45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5B2"/>
  </w:style>
  <w:style w:type="paragraph" w:styleId="NormalWeb">
    <w:name w:val="Normal (Web)"/>
    <w:basedOn w:val="Normal"/>
    <w:uiPriority w:val="99"/>
    <w:semiHidden/>
    <w:unhideWhenUsed/>
    <w:rsid w:val="002D45B2"/>
    <w:pPr>
      <w:spacing w:before="100" w:beforeAutospacing="1" w:after="100" w:afterAutospacing="1" w:line="240" w:lineRule="auto"/>
    </w:pPr>
    <w:rPr>
      <w:rFonts w:ascii="Times New Roman" w:hAnsi="Times New Roman" w:cs="Times New Roman"/>
      <w:sz w:val="24"/>
      <w:szCs w:val="24"/>
      <w:lang w:eastAsia="es-CL"/>
    </w:rPr>
  </w:style>
  <w:style w:type="paragraph" w:styleId="Prrafodelista">
    <w:name w:val="List Paragraph"/>
    <w:basedOn w:val="Normal"/>
    <w:uiPriority w:val="34"/>
    <w:qFormat/>
    <w:rsid w:val="002D45B2"/>
    <w:pPr>
      <w:ind w:left="720"/>
      <w:contextualSpacing/>
    </w:pPr>
  </w:style>
  <w:style w:type="paragraph" w:styleId="Textosinformato">
    <w:name w:val="Plain Text"/>
    <w:basedOn w:val="Normal"/>
    <w:link w:val="TextosinformatoCar"/>
    <w:uiPriority w:val="99"/>
    <w:unhideWhenUsed/>
    <w:rsid w:val="002D45B2"/>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D45B2"/>
    <w:rPr>
      <w:rFonts w:ascii="Calibri" w:hAnsi="Calibri"/>
      <w:szCs w:val="21"/>
    </w:rPr>
  </w:style>
  <w:style w:type="paragraph" w:styleId="HTMLconformatoprevio">
    <w:name w:val="HTML Preformatted"/>
    <w:basedOn w:val="Normal"/>
    <w:link w:val="HTMLconformatoprevioCar"/>
    <w:uiPriority w:val="99"/>
    <w:semiHidden/>
    <w:unhideWhenUsed/>
    <w:rsid w:val="002D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2D45B2"/>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2D45B2"/>
    <w:rPr>
      <w:color w:val="0000FF" w:themeColor="hyperlink"/>
      <w:u w:val="single"/>
    </w:rPr>
  </w:style>
  <w:style w:type="paragraph" w:customStyle="1" w:styleId="gmail-p1">
    <w:name w:val="gmail-p1"/>
    <w:basedOn w:val="Normal"/>
    <w:rsid w:val="002D45B2"/>
    <w:pPr>
      <w:spacing w:before="100" w:beforeAutospacing="1" w:after="100" w:afterAutospacing="1" w:line="240" w:lineRule="auto"/>
    </w:pPr>
    <w:rPr>
      <w:rFonts w:ascii="Times New Roman" w:hAnsi="Times New Roman" w:cs="Times New Roman"/>
      <w:sz w:val="24"/>
      <w:szCs w:val="24"/>
      <w:lang w:eastAsia="es-CL"/>
    </w:rPr>
  </w:style>
  <w:style w:type="character" w:customStyle="1" w:styleId="gmail-s1">
    <w:name w:val="gmail-s1"/>
    <w:basedOn w:val="Fuentedeprrafopredeter"/>
    <w:rsid w:val="002D45B2"/>
  </w:style>
  <w:style w:type="paragraph" w:styleId="Textonotapie">
    <w:name w:val="footnote text"/>
    <w:basedOn w:val="Normal"/>
    <w:link w:val="TextonotapieCar"/>
    <w:uiPriority w:val="99"/>
    <w:semiHidden/>
    <w:unhideWhenUsed/>
    <w:rsid w:val="00966735"/>
    <w:pPr>
      <w:spacing w:after="0" w:line="240" w:lineRule="auto"/>
      <w:jc w:val="both"/>
    </w:pPr>
    <w:rPr>
      <w:rFonts w:ascii="Calibri" w:hAnsi="Calibri" w:cs="Times New Roman"/>
      <w:sz w:val="20"/>
      <w:szCs w:val="20"/>
    </w:rPr>
  </w:style>
  <w:style w:type="character" w:customStyle="1" w:styleId="TextonotapieCar">
    <w:name w:val="Texto nota pie Car"/>
    <w:basedOn w:val="Fuentedeprrafopredeter"/>
    <w:link w:val="Textonotapie"/>
    <w:uiPriority w:val="99"/>
    <w:semiHidden/>
    <w:rsid w:val="00966735"/>
    <w:rPr>
      <w:rFonts w:ascii="Calibri" w:hAnsi="Calibri" w:cs="Times New Roman"/>
      <w:sz w:val="20"/>
      <w:szCs w:val="20"/>
    </w:rPr>
  </w:style>
  <w:style w:type="paragraph" w:styleId="Textodeglobo">
    <w:name w:val="Balloon Text"/>
    <w:basedOn w:val="Normal"/>
    <w:link w:val="TextodegloboCar"/>
    <w:uiPriority w:val="99"/>
    <w:semiHidden/>
    <w:unhideWhenUsed/>
    <w:rsid w:val="00B74F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D4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45B2"/>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D45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5B2"/>
  </w:style>
  <w:style w:type="paragraph" w:styleId="Piedepgina">
    <w:name w:val="footer"/>
    <w:basedOn w:val="Normal"/>
    <w:link w:val="PiedepginaCar"/>
    <w:uiPriority w:val="99"/>
    <w:unhideWhenUsed/>
    <w:rsid w:val="002D45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5B2"/>
  </w:style>
  <w:style w:type="paragraph" w:styleId="NormalWeb">
    <w:name w:val="Normal (Web)"/>
    <w:basedOn w:val="Normal"/>
    <w:uiPriority w:val="99"/>
    <w:semiHidden/>
    <w:unhideWhenUsed/>
    <w:rsid w:val="002D45B2"/>
    <w:pPr>
      <w:spacing w:before="100" w:beforeAutospacing="1" w:after="100" w:afterAutospacing="1" w:line="240" w:lineRule="auto"/>
    </w:pPr>
    <w:rPr>
      <w:rFonts w:ascii="Times New Roman" w:hAnsi="Times New Roman" w:cs="Times New Roman"/>
      <w:sz w:val="24"/>
      <w:szCs w:val="24"/>
      <w:lang w:eastAsia="es-CL"/>
    </w:rPr>
  </w:style>
  <w:style w:type="paragraph" w:styleId="Prrafodelista">
    <w:name w:val="List Paragraph"/>
    <w:basedOn w:val="Normal"/>
    <w:uiPriority w:val="34"/>
    <w:qFormat/>
    <w:rsid w:val="002D45B2"/>
    <w:pPr>
      <w:ind w:left="720"/>
      <w:contextualSpacing/>
    </w:pPr>
  </w:style>
  <w:style w:type="paragraph" w:styleId="Textosinformato">
    <w:name w:val="Plain Text"/>
    <w:basedOn w:val="Normal"/>
    <w:link w:val="TextosinformatoCar"/>
    <w:uiPriority w:val="99"/>
    <w:unhideWhenUsed/>
    <w:rsid w:val="002D45B2"/>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D45B2"/>
    <w:rPr>
      <w:rFonts w:ascii="Calibri" w:hAnsi="Calibri"/>
      <w:szCs w:val="21"/>
    </w:rPr>
  </w:style>
  <w:style w:type="paragraph" w:styleId="HTMLconformatoprevio">
    <w:name w:val="HTML Preformatted"/>
    <w:basedOn w:val="Normal"/>
    <w:link w:val="HTMLconformatoprevioCar"/>
    <w:uiPriority w:val="99"/>
    <w:semiHidden/>
    <w:unhideWhenUsed/>
    <w:rsid w:val="002D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2D45B2"/>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2D45B2"/>
    <w:rPr>
      <w:color w:val="0000FF" w:themeColor="hyperlink"/>
      <w:u w:val="single"/>
    </w:rPr>
  </w:style>
  <w:style w:type="paragraph" w:customStyle="1" w:styleId="gmail-p1">
    <w:name w:val="gmail-p1"/>
    <w:basedOn w:val="Normal"/>
    <w:rsid w:val="002D45B2"/>
    <w:pPr>
      <w:spacing w:before="100" w:beforeAutospacing="1" w:after="100" w:afterAutospacing="1" w:line="240" w:lineRule="auto"/>
    </w:pPr>
    <w:rPr>
      <w:rFonts w:ascii="Times New Roman" w:hAnsi="Times New Roman" w:cs="Times New Roman"/>
      <w:sz w:val="24"/>
      <w:szCs w:val="24"/>
      <w:lang w:eastAsia="es-CL"/>
    </w:rPr>
  </w:style>
  <w:style w:type="character" w:customStyle="1" w:styleId="gmail-s1">
    <w:name w:val="gmail-s1"/>
    <w:basedOn w:val="Fuentedeprrafopredeter"/>
    <w:rsid w:val="002D45B2"/>
  </w:style>
  <w:style w:type="paragraph" w:styleId="Textonotapie">
    <w:name w:val="footnote text"/>
    <w:basedOn w:val="Normal"/>
    <w:link w:val="TextonotapieCar"/>
    <w:uiPriority w:val="99"/>
    <w:semiHidden/>
    <w:unhideWhenUsed/>
    <w:rsid w:val="00966735"/>
    <w:pPr>
      <w:spacing w:after="0" w:line="240" w:lineRule="auto"/>
      <w:jc w:val="both"/>
    </w:pPr>
    <w:rPr>
      <w:rFonts w:ascii="Calibri" w:hAnsi="Calibri" w:cs="Times New Roman"/>
      <w:sz w:val="20"/>
      <w:szCs w:val="20"/>
    </w:rPr>
  </w:style>
  <w:style w:type="character" w:customStyle="1" w:styleId="TextonotapieCar">
    <w:name w:val="Texto nota pie Car"/>
    <w:basedOn w:val="Fuentedeprrafopredeter"/>
    <w:link w:val="Textonotapie"/>
    <w:uiPriority w:val="99"/>
    <w:semiHidden/>
    <w:rsid w:val="00966735"/>
    <w:rPr>
      <w:rFonts w:ascii="Calibri" w:hAnsi="Calibri" w:cs="Times New Roman"/>
      <w:sz w:val="20"/>
      <w:szCs w:val="20"/>
    </w:rPr>
  </w:style>
  <w:style w:type="paragraph" w:styleId="Textodeglobo">
    <w:name w:val="Balloon Text"/>
    <w:basedOn w:val="Normal"/>
    <w:link w:val="TextodegloboCar"/>
    <w:uiPriority w:val="99"/>
    <w:semiHidden/>
    <w:unhideWhenUsed/>
    <w:rsid w:val="00B74F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3125">
      <w:bodyDiv w:val="1"/>
      <w:marLeft w:val="0"/>
      <w:marRight w:val="0"/>
      <w:marTop w:val="0"/>
      <w:marBottom w:val="0"/>
      <w:divBdr>
        <w:top w:val="none" w:sz="0" w:space="0" w:color="auto"/>
        <w:left w:val="none" w:sz="0" w:space="0" w:color="auto"/>
        <w:bottom w:val="none" w:sz="0" w:space="0" w:color="auto"/>
        <w:right w:val="none" w:sz="0" w:space="0" w:color="auto"/>
      </w:divBdr>
    </w:div>
    <w:div w:id="342367964">
      <w:bodyDiv w:val="1"/>
      <w:marLeft w:val="0"/>
      <w:marRight w:val="0"/>
      <w:marTop w:val="0"/>
      <w:marBottom w:val="0"/>
      <w:divBdr>
        <w:top w:val="none" w:sz="0" w:space="0" w:color="auto"/>
        <w:left w:val="none" w:sz="0" w:space="0" w:color="auto"/>
        <w:bottom w:val="none" w:sz="0" w:space="0" w:color="auto"/>
        <w:right w:val="none" w:sz="0" w:space="0" w:color="auto"/>
      </w:divBdr>
    </w:div>
    <w:div w:id="532957957">
      <w:bodyDiv w:val="1"/>
      <w:marLeft w:val="0"/>
      <w:marRight w:val="0"/>
      <w:marTop w:val="0"/>
      <w:marBottom w:val="0"/>
      <w:divBdr>
        <w:top w:val="none" w:sz="0" w:space="0" w:color="auto"/>
        <w:left w:val="none" w:sz="0" w:space="0" w:color="auto"/>
        <w:bottom w:val="none" w:sz="0" w:space="0" w:color="auto"/>
        <w:right w:val="none" w:sz="0" w:space="0" w:color="auto"/>
      </w:divBdr>
    </w:div>
    <w:div w:id="561795190">
      <w:bodyDiv w:val="1"/>
      <w:marLeft w:val="0"/>
      <w:marRight w:val="0"/>
      <w:marTop w:val="0"/>
      <w:marBottom w:val="0"/>
      <w:divBdr>
        <w:top w:val="none" w:sz="0" w:space="0" w:color="auto"/>
        <w:left w:val="none" w:sz="0" w:space="0" w:color="auto"/>
        <w:bottom w:val="none" w:sz="0" w:space="0" w:color="auto"/>
        <w:right w:val="none" w:sz="0" w:space="0" w:color="auto"/>
      </w:divBdr>
    </w:div>
    <w:div w:id="1080297308">
      <w:bodyDiv w:val="1"/>
      <w:marLeft w:val="0"/>
      <w:marRight w:val="0"/>
      <w:marTop w:val="0"/>
      <w:marBottom w:val="0"/>
      <w:divBdr>
        <w:top w:val="none" w:sz="0" w:space="0" w:color="auto"/>
        <w:left w:val="none" w:sz="0" w:space="0" w:color="auto"/>
        <w:bottom w:val="none" w:sz="0" w:space="0" w:color="auto"/>
        <w:right w:val="none" w:sz="0" w:space="0" w:color="auto"/>
      </w:divBdr>
    </w:div>
    <w:div w:id="1648391066">
      <w:bodyDiv w:val="1"/>
      <w:marLeft w:val="0"/>
      <w:marRight w:val="0"/>
      <w:marTop w:val="0"/>
      <w:marBottom w:val="0"/>
      <w:divBdr>
        <w:top w:val="none" w:sz="0" w:space="0" w:color="auto"/>
        <w:left w:val="none" w:sz="0" w:space="0" w:color="auto"/>
        <w:bottom w:val="none" w:sz="0" w:space="0" w:color="auto"/>
        <w:right w:val="none" w:sz="0" w:space="0" w:color="auto"/>
      </w:divBdr>
    </w:div>
    <w:div w:id="1679890324">
      <w:bodyDiv w:val="1"/>
      <w:marLeft w:val="0"/>
      <w:marRight w:val="0"/>
      <w:marTop w:val="0"/>
      <w:marBottom w:val="0"/>
      <w:divBdr>
        <w:top w:val="none" w:sz="0" w:space="0" w:color="auto"/>
        <w:left w:val="none" w:sz="0" w:space="0" w:color="auto"/>
        <w:bottom w:val="none" w:sz="0" w:space="0" w:color="auto"/>
        <w:right w:val="none" w:sz="0" w:space="0" w:color="auto"/>
      </w:divBdr>
    </w:div>
    <w:div w:id="1908104915">
      <w:bodyDiv w:val="1"/>
      <w:marLeft w:val="0"/>
      <w:marRight w:val="0"/>
      <w:marTop w:val="0"/>
      <w:marBottom w:val="0"/>
      <w:divBdr>
        <w:top w:val="none" w:sz="0" w:space="0" w:color="auto"/>
        <w:left w:val="none" w:sz="0" w:space="0" w:color="auto"/>
        <w:bottom w:val="none" w:sz="0" w:space="0" w:color="auto"/>
        <w:right w:val="none" w:sz="0" w:space="0" w:color="auto"/>
      </w:divBdr>
    </w:div>
    <w:div w:id="1945842919">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bpesca.cl" TargetMode="External"/><Relationship Id="rId4" Type="http://schemas.openxmlformats.org/officeDocument/2006/relationships/settings" Target="settings.xml"/><Relationship Id="rId9" Type="http://schemas.openxmlformats.org/officeDocument/2006/relationships/hyperlink" Target="http://www.subpesca.cl/portal/616/w3-article-9884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1686</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3</cp:revision>
  <cp:lastPrinted>2017-12-06T20:12:00Z</cp:lastPrinted>
  <dcterms:created xsi:type="dcterms:W3CDTF">2017-12-06T21:17:00Z</dcterms:created>
  <dcterms:modified xsi:type="dcterms:W3CDTF">2017-12-06T21:19:00Z</dcterms:modified>
</cp:coreProperties>
</file>