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5B" w:rsidRDefault="00454F5B" w:rsidP="00177862">
      <w:pPr>
        <w:spacing w:after="0" w:line="240" w:lineRule="auto"/>
        <w:rPr>
          <w:rFonts w:ascii="gobCL" w:hAnsi="gobCL"/>
          <w:lang w:eastAsia="es-CL"/>
        </w:rPr>
      </w:pPr>
    </w:p>
    <w:p w:rsidR="00651A96" w:rsidRPr="00454F5B" w:rsidRDefault="00177862" w:rsidP="00177862">
      <w:pPr>
        <w:spacing w:after="0" w:line="240" w:lineRule="auto"/>
        <w:rPr>
          <w:rFonts w:ascii="gobCL" w:hAnsi="gobCL"/>
          <w:b/>
          <w:u w:val="single"/>
          <w:lang w:eastAsia="es-CL"/>
        </w:rPr>
      </w:pPr>
      <w:r w:rsidRPr="00177862">
        <w:rPr>
          <w:rFonts w:ascii="gobCL" w:hAnsi="gobCL"/>
          <w:b/>
          <w:u w:val="single"/>
          <w:lang w:eastAsia="es-CL"/>
        </w:rPr>
        <w:t>ACLARACIONES A BASES ADMINISTRATIVAS SUBASTA LICENCIA TRANSABLE DE PESCA TIPO B</w:t>
      </w:r>
    </w:p>
    <w:p w:rsidR="00651A96" w:rsidRPr="00F45370" w:rsidRDefault="00651A96" w:rsidP="00177862">
      <w:pPr>
        <w:spacing w:after="0" w:line="240" w:lineRule="auto"/>
        <w:jc w:val="center"/>
        <w:rPr>
          <w:rFonts w:ascii="gobCL" w:hAnsi="gobCL"/>
          <w:lang w:eastAsia="es-CL"/>
        </w:rPr>
      </w:pPr>
    </w:p>
    <w:p w:rsidR="006A2EC2" w:rsidRPr="00F45370" w:rsidRDefault="006A2EC2" w:rsidP="00F45370">
      <w:pPr>
        <w:spacing w:after="0" w:line="240" w:lineRule="auto"/>
        <w:jc w:val="both"/>
        <w:rPr>
          <w:rFonts w:ascii="gobCL" w:hAnsi="gobCL"/>
          <w:b/>
          <w:color w:val="1F497D" w:themeColor="text2"/>
          <w:lang w:eastAsia="es-CL"/>
        </w:rPr>
      </w:pPr>
      <w:r w:rsidRPr="00F45370">
        <w:rPr>
          <w:rFonts w:ascii="gobCL" w:hAnsi="gobCL"/>
          <w:b/>
          <w:color w:val="1F497D" w:themeColor="text2"/>
          <w:lang w:eastAsia="es-CL"/>
        </w:rPr>
        <w:t xml:space="preserve">Aclaraciones a las bases dirigidas al correo electrónico </w:t>
      </w:r>
      <w:hyperlink r:id="rId9" w:history="1">
        <w:r w:rsidRPr="00F45370">
          <w:rPr>
            <w:rFonts w:ascii="gobCL" w:hAnsi="gobCL"/>
            <w:b/>
            <w:color w:val="1F497D" w:themeColor="text2"/>
            <w:lang w:eastAsia="es-CL"/>
          </w:rPr>
          <w:t>subastapublica@subpesca.cl</w:t>
        </w:r>
      </w:hyperlink>
      <w:r w:rsidRPr="00F45370">
        <w:rPr>
          <w:rFonts w:ascii="gobCL" w:hAnsi="gobCL"/>
          <w:b/>
          <w:color w:val="1F497D" w:themeColor="text2"/>
          <w:lang w:eastAsia="es-CL"/>
        </w:rPr>
        <w:t xml:space="preserve"> a la fecha de </w:t>
      </w:r>
      <w:r w:rsidR="009E0369" w:rsidRPr="00F45370">
        <w:rPr>
          <w:rFonts w:ascii="gobCL" w:hAnsi="gobCL"/>
          <w:b/>
          <w:color w:val="1F497D" w:themeColor="text2"/>
          <w:lang w:eastAsia="es-CL"/>
        </w:rPr>
        <w:t xml:space="preserve">01 </w:t>
      </w:r>
      <w:r w:rsidRPr="00F45370">
        <w:rPr>
          <w:rFonts w:ascii="gobCL" w:hAnsi="gobCL"/>
          <w:b/>
          <w:color w:val="1F497D" w:themeColor="text2"/>
          <w:lang w:eastAsia="es-CL"/>
        </w:rPr>
        <w:t xml:space="preserve">de </w:t>
      </w:r>
      <w:r w:rsidR="009E0369" w:rsidRPr="00F45370">
        <w:rPr>
          <w:rFonts w:ascii="gobCL" w:hAnsi="gobCL"/>
          <w:b/>
          <w:color w:val="1F497D" w:themeColor="text2"/>
          <w:lang w:eastAsia="es-CL"/>
        </w:rPr>
        <w:t>diciembre</w:t>
      </w:r>
      <w:r w:rsidRPr="00F45370">
        <w:rPr>
          <w:rFonts w:ascii="gobCL" w:hAnsi="gobCL"/>
          <w:b/>
          <w:color w:val="1F497D" w:themeColor="text2"/>
          <w:lang w:eastAsia="es-CL"/>
        </w:rPr>
        <w:t xml:space="preserve"> de 201</w:t>
      </w:r>
      <w:r w:rsidR="00050E76" w:rsidRPr="00F45370">
        <w:rPr>
          <w:rFonts w:ascii="gobCL" w:hAnsi="gobCL"/>
          <w:b/>
          <w:color w:val="1F497D" w:themeColor="text2"/>
          <w:lang w:eastAsia="es-CL"/>
        </w:rPr>
        <w:t>7</w:t>
      </w:r>
      <w:r w:rsidRPr="00F45370">
        <w:rPr>
          <w:rFonts w:ascii="gobCL" w:hAnsi="gobCL"/>
          <w:b/>
          <w:color w:val="1F497D" w:themeColor="text2"/>
          <w:lang w:eastAsia="es-CL"/>
        </w:rPr>
        <w:t>, según el orden de llegada y dentro del plazo de 72 horas.</w:t>
      </w:r>
    </w:p>
    <w:p w:rsidR="006A2EC2" w:rsidRPr="00F45370" w:rsidRDefault="006A2EC2" w:rsidP="00F45370">
      <w:pPr>
        <w:pStyle w:val="Textosinformato"/>
        <w:jc w:val="both"/>
        <w:rPr>
          <w:rFonts w:ascii="gobCL" w:hAnsi="gobCL"/>
          <w:szCs w:val="22"/>
        </w:rPr>
      </w:pPr>
    </w:p>
    <w:p w:rsidR="006A2EC2" w:rsidRPr="00F45370" w:rsidRDefault="006A2EC2" w:rsidP="00F45370">
      <w:pPr>
        <w:pStyle w:val="Textosinformato"/>
        <w:numPr>
          <w:ilvl w:val="0"/>
          <w:numId w:val="8"/>
        </w:numPr>
        <w:jc w:val="both"/>
        <w:rPr>
          <w:rFonts w:ascii="gobCL" w:hAnsi="gobCL"/>
          <w:szCs w:val="22"/>
        </w:rPr>
      </w:pPr>
      <w:r w:rsidRPr="00F45370">
        <w:rPr>
          <w:rFonts w:ascii="gobCL" w:hAnsi="gobCL"/>
          <w:szCs w:val="22"/>
        </w:rPr>
        <w:t xml:space="preserve">Un Sindicato de Armadores de Embarcaciones Artesanales, con personalidad jurídica legalmente constituido, e inscrito en el Registro Sindical de la Inspección del Trabajo, pero que no cuenta con Giro ni Ingresos por Venta de productos o servicios, ¿puede ser clasificado como Empresa de Menor Tamaño (EMT) de acuerdo a la ley N° 20.416 para efectos de participar en la próxima subasta de la cuota LTP B de </w:t>
      </w:r>
      <w:r w:rsidR="00050E76" w:rsidRPr="00F45370">
        <w:rPr>
          <w:rFonts w:ascii="gobCL" w:hAnsi="gobCL"/>
          <w:szCs w:val="22"/>
        </w:rPr>
        <w:t>Jurel?</w:t>
      </w:r>
    </w:p>
    <w:p w:rsidR="006A2EC2" w:rsidRPr="00F45370" w:rsidRDefault="006A2EC2" w:rsidP="00F45370">
      <w:pPr>
        <w:pStyle w:val="Textosinformato"/>
        <w:jc w:val="both"/>
        <w:rPr>
          <w:rFonts w:ascii="gobCL" w:hAnsi="gobCL"/>
          <w:szCs w:val="22"/>
        </w:rPr>
      </w:pPr>
    </w:p>
    <w:p w:rsidR="00F026BF" w:rsidRPr="00F45370" w:rsidRDefault="00F026BF"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r w:rsidRPr="00F45370">
        <w:rPr>
          <w:rFonts w:ascii="gobCL" w:hAnsi="gobCL"/>
          <w:b/>
          <w:color w:val="1F497D" w:themeColor="text2"/>
        </w:rPr>
        <w:t xml:space="preserve">No, de acuerdo a lo señalado en las bases administrativas. Las empresas de menor tamaño deben </w:t>
      </w:r>
      <w:r w:rsidR="00AE27EF">
        <w:rPr>
          <w:rFonts w:ascii="gobCL" w:eastAsia="Times New Roman" w:hAnsi="gobCL" w:cs="Arial"/>
          <w:b/>
          <w:color w:val="1F497D" w:themeColor="text2"/>
          <w:lang w:val="es-ES_tradnl" w:eastAsia="es-ES"/>
        </w:rPr>
        <w:t>a</w:t>
      </w:r>
      <w:r w:rsidRPr="00F45370">
        <w:rPr>
          <w:rFonts w:ascii="gobCL" w:eastAsia="Times New Roman" w:hAnsi="gobCL" w:cs="Arial"/>
          <w:b/>
          <w:color w:val="1F497D" w:themeColor="text2"/>
          <w:lang w:val="es-ES_tradnl" w:eastAsia="es-ES"/>
        </w:rPr>
        <w:t>creditar que durante el año 2016, la empresa ha tenido la calidad de empresa de menor tamaño de acuerdo a lo establecido en la Ley N° 20.416, según corresponda. Para acreditar este requisito se deberán presentar copia</w:t>
      </w:r>
      <w:r w:rsidR="007F504A" w:rsidRPr="00F45370">
        <w:rPr>
          <w:rFonts w:ascii="gobCL" w:eastAsia="Times New Roman" w:hAnsi="gobCL" w:cs="Arial"/>
          <w:b/>
          <w:color w:val="1F497D" w:themeColor="text2"/>
          <w:lang w:val="es-ES_tradnl" w:eastAsia="es-ES"/>
        </w:rPr>
        <w:t>s</w:t>
      </w:r>
      <w:r w:rsidRPr="00F45370">
        <w:rPr>
          <w:rFonts w:ascii="gobCL" w:eastAsia="Times New Roman" w:hAnsi="gobCL" w:cs="Arial"/>
          <w:b/>
          <w:color w:val="1F497D" w:themeColor="text2"/>
          <w:lang w:val="es-ES_tradnl" w:eastAsia="es-ES"/>
        </w:rPr>
        <w:t xml:space="preserve"> autorizada</w:t>
      </w:r>
      <w:r w:rsidR="007F504A" w:rsidRPr="00F45370">
        <w:rPr>
          <w:rFonts w:ascii="gobCL" w:eastAsia="Times New Roman" w:hAnsi="gobCL" w:cs="Arial"/>
          <w:b/>
          <w:color w:val="1F497D" w:themeColor="text2"/>
          <w:lang w:val="es-ES_tradnl" w:eastAsia="es-ES"/>
        </w:rPr>
        <w:t>s</w:t>
      </w:r>
      <w:r w:rsidRPr="00F45370">
        <w:rPr>
          <w:rFonts w:ascii="gobCL" w:eastAsia="Times New Roman" w:hAnsi="gobCL" w:cs="Arial"/>
          <w:b/>
          <w:color w:val="1F497D" w:themeColor="text2"/>
          <w:lang w:val="es-ES_tradnl" w:eastAsia="es-ES"/>
        </w:rPr>
        <w:t xml:space="preserve"> ante Notario de las declaraciones de IVA presentadas al Servicio de Impuestos Internos para el año calendario 2016.</w:t>
      </w:r>
    </w:p>
    <w:p w:rsidR="00F026BF" w:rsidRPr="00F45370" w:rsidRDefault="00F026BF" w:rsidP="00F45370">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1F497D" w:themeColor="text2"/>
          <w:lang w:val="es-ES_tradnl" w:eastAsia="es-ES"/>
        </w:rPr>
      </w:pPr>
    </w:p>
    <w:p w:rsidR="00F026BF" w:rsidRPr="00F45370" w:rsidRDefault="00AE27EF"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r>
        <w:rPr>
          <w:rFonts w:ascii="gobCL" w:eastAsia="Times New Roman" w:hAnsi="gobCL" w:cs="Arial"/>
          <w:b/>
          <w:color w:val="1F497D" w:themeColor="text2"/>
          <w:lang w:val="es-ES_tradnl" w:eastAsia="es-ES"/>
        </w:rPr>
        <w:t>Todo ello en virtud de lo dispuesto en el</w:t>
      </w:r>
      <w:r w:rsidR="00F026BF" w:rsidRPr="00F45370">
        <w:rPr>
          <w:rFonts w:ascii="gobCL" w:eastAsia="Times New Roman" w:hAnsi="gobCL" w:cs="Arial"/>
          <w:b/>
          <w:color w:val="1F497D" w:themeColor="text2"/>
          <w:lang w:val="es-ES_tradnl" w:eastAsia="es-ES"/>
        </w:rPr>
        <w:t xml:space="preserve"> artíc</w:t>
      </w:r>
      <w:r w:rsidR="007F504A" w:rsidRPr="00F45370">
        <w:rPr>
          <w:rFonts w:ascii="gobCL" w:eastAsia="Times New Roman" w:hAnsi="gobCL" w:cs="Arial"/>
          <w:b/>
          <w:color w:val="1F497D" w:themeColor="text2"/>
          <w:lang w:val="es-ES_tradnl" w:eastAsia="es-ES"/>
        </w:rPr>
        <w:t xml:space="preserve">ulo 8° letra ii) de Reglamento </w:t>
      </w:r>
      <w:r w:rsidR="00F026BF" w:rsidRPr="00F45370">
        <w:rPr>
          <w:rFonts w:ascii="gobCL" w:eastAsia="Times New Roman" w:hAnsi="gobCL" w:cs="Arial"/>
          <w:b/>
          <w:color w:val="1F497D" w:themeColor="text2"/>
          <w:lang w:val="es-ES_tradnl" w:eastAsia="es-ES"/>
        </w:rPr>
        <w:t xml:space="preserve">de Subasta de Licencias </w:t>
      </w:r>
      <w:r w:rsidR="00443FC2" w:rsidRPr="00F45370">
        <w:rPr>
          <w:rFonts w:ascii="gobCL" w:eastAsia="Times New Roman" w:hAnsi="gobCL" w:cs="Arial"/>
          <w:b/>
          <w:color w:val="1F497D" w:themeColor="text2"/>
          <w:lang w:val="es-ES_tradnl" w:eastAsia="es-ES"/>
        </w:rPr>
        <w:t>Transables</w:t>
      </w:r>
      <w:r w:rsidR="00F026BF" w:rsidRPr="00F45370">
        <w:rPr>
          <w:rFonts w:ascii="gobCL" w:eastAsia="Times New Roman" w:hAnsi="gobCL" w:cs="Arial"/>
          <w:b/>
          <w:color w:val="1F497D" w:themeColor="text2"/>
          <w:lang w:val="es-ES_tradnl" w:eastAsia="es-ES"/>
        </w:rPr>
        <w:t xml:space="preserve"> de Pesca Clase B, aprobado mediante D.S. N° 103 de 2015.</w:t>
      </w:r>
    </w:p>
    <w:p w:rsidR="00F026BF" w:rsidRPr="00F45370" w:rsidRDefault="00F026BF" w:rsidP="00F45370">
      <w:pPr>
        <w:overflowPunct w:val="0"/>
        <w:autoSpaceDE w:val="0"/>
        <w:autoSpaceDN w:val="0"/>
        <w:adjustRightInd w:val="0"/>
        <w:spacing w:after="0" w:line="240" w:lineRule="auto"/>
        <w:contextualSpacing/>
        <w:jc w:val="both"/>
        <w:textAlignment w:val="baseline"/>
        <w:rPr>
          <w:rFonts w:ascii="gobCL" w:eastAsia="Times New Roman" w:hAnsi="gobCL" w:cs="Arial"/>
          <w:b/>
          <w:color w:val="1F497D" w:themeColor="text2"/>
          <w:lang w:val="es-ES_tradnl" w:eastAsia="es-ES"/>
        </w:rPr>
      </w:pPr>
    </w:p>
    <w:p w:rsidR="00F026BF" w:rsidRPr="00F45370" w:rsidRDefault="00F026BF"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Sin perjuicio de ello, el sindicato que no califica como EMT puede postular a los lotes todo oferente.</w:t>
      </w:r>
    </w:p>
    <w:p w:rsidR="006A2EC2" w:rsidRPr="00F45370" w:rsidRDefault="006A2EC2" w:rsidP="00F45370">
      <w:pPr>
        <w:spacing w:after="0" w:line="240" w:lineRule="auto"/>
        <w:jc w:val="both"/>
        <w:rPr>
          <w:rFonts w:ascii="gobCL" w:hAnsi="gobCL"/>
        </w:rPr>
      </w:pPr>
    </w:p>
    <w:p w:rsidR="00482284" w:rsidRPr="00F45370" w:rsidRDefault="00482284" w:rsidP="00F45370">
      <w:pPr>
        <w:pStyle w:val="Prrafodelista"/>
        <w:numPr>
          <w:ilvl w:val="0"/>
          <w:numId w:val="8"/>
        </w:numPr>
        <w:spacing w:line="240" w:lineRule="auto"/>
        <w:jc w:val="both"/>
        <w:rPr>
          <w:rFonts w:ascii="gobCL" w:hAnsi="gobCL"/>
        </w:rPr>
      </w:pPr>
      <w:r w:rsidRPr="00F45370">
        <w:rPr>
          <w:rFonts w:ascii="gobCL" w:hAnsi="gobCL"/>
        </w:rPr>
        <w:t xml:space="preserve">Solicito me puedan aclarar la siguiente duda, respecto del </w:t>
      </w:r>
      <w:r w:rsidRPr="00F45370">
        <w:rPr>
          <w:rFonts w:ascii="gobCL" w:hAnsi="gobCL"/>
          <w:bCs/>
        </w:rPr>
        <w:t>PUNTO 8 LETRA B</w:t>
      </w:r>
      <w:r w:rsidR="00541D03" w:rsidRPr="00F45370">
        <w:rPr>
          <w:rFonts w:ascii="gobCL" w:hAnsi="gobCL"/>
        </w:rPr>
        <w:t xml:space="preserve">, </w:t>
      </w:r>
      <w:r w:rsidRPr="00F45370">
        <w:rPr>
          <w:rFonts w:ascii="gobCL" w:hAnsi="gobCL"/>
        </w:rPr>
        <w:t>de la LICITACION DE LA CUOTA LTP CLASE B PESQUERIA JUREL.</w:t>
      </w:r>
    </w:p>
    <w:p w:rsidR="00482284" w:rsidRPr="00F45370" w:rsidRDefault="00482284" w:rsidP="00F45370">
      <w:pPr>
        <w:spacing w:line="240" w:lineRule="auto"/>
        <w:ind w:left="708"/>
        <w:jc w:val="both"/>
        <w:rPr>
          <w:rFonts w:ascii="gobCL" w:hAnsi="gobCL"/>
        </w:rPr>
      </w:pPr>
      <w:r w:rsidRPr="00F45370">
        <w:rPr>
          <w:rFonts w:ascii="gobCL" w:hAnsi="gobCL"/>
        </w:rPr>
        <w:t>Se refiere a lo siguiente:</w:t>
      </w:r>
      <w:r w:rsidR="00541D03" w:rsidRPr="00F45370">
        <w:rPr>
          <w:rFonts w:ascii="gobCL" w:hAnsi="gobCL"/>
        </w:rPr>
        <w:t xml:space="preserve"> </w:t>
      </w:r>
      <w:r w:rsidRPr="00F45370">
        <w:rPr>
          <w:rFonts w:ascii="gobCL" w:hAnsi="gobCL"/>
        </w:rPr>
        <w:t>La fecha de Constitución de nuestra Empresa fue el 12 de Mayo de 2016.</w:t>
      </w:r>
    </w:p>
    <w:p w:rsidR="00482284" w:rsidRPr="00F45370" w:rsidRDefault="00482284" w:rsidP="00F45370">
      <w:pPr>
        <w:spacing w:line="240" w:lineRule="auto"/>
        <w:ind w:left="708"/>
        <w:jc w:val="both"/>
        <w:rPr>
          <w:rFonts w:ascii="gobCL" w:hAnsi="gobCL"/>
        </w:rPr>
      </w:pPr>
      <w:r w:rsidRPr="00F45370">
        <w:rPr>
          <w:rFonts w:ascii="gobCL" w:hAnsi="gobCL"/>
        </w:rPr>
        <w:t>La fecha de iniciación de actividades ante el Servicio de Impuestos Internos fue el 20 de Julio de 2016</w:t>
      </w:r>
    </w:p>
    <w:p w:rsidR="00482284" w:rsidRPr="00F45370" w:rsidRDefault="00482284" w:rsidP="00F45370">
      <w:pPr>
        <w:spacing w:line="240" w:lineRule="auto"/>
        <w:ind w:left="708"/>
        <w:jc w:val="both"/>
        <w:rPr>
          <w:rFonts w:ascii="gobCL" w:hAnsi="gobCL"/>
        </w:rPr>
      </w:pPr>
      <w:r w:rsidRPr="00F45370">
        <w:rPr>
          <w:rFonts w:ascii="gobCL" w:hAnsi="gobCL"/>
        </w:rPr>
        <w:t>El inicio de efectivo de operaciones fue a contar del mes de</w:t>
      </w:r>
      <w:r w:rsidR="00050E76" w:rsidRPr="00F45370">
        <w:rPr>
          <w:rFonts w:ascii="gobCL" w:hAnsi="gobCL"/>
        </w:rPr>
        <w:t xml:space="preserve"> enero de 2017 en adelante, por </w:t>
      </w:r>
      <w:r w:rsidRPr="00F45370">
        <w:rPr>
          <w:rFonts w:ascii="gobCL" w:hAnsi="gobCL"/>
        </w:rPr>
        <w:t>consecuencia no tenemos declaraciones de IVA, por el a</w:t>
      </w:r>
      <w:r w:rsidRPr="00F45370">
        <w:rPr>
          <w:rFonts w:ascii="gobCL" w:hAnsi="gobCL" w:cs="gobCL"/>
        </w:rPr>
        <w:t>ñ</w:t>
      </w:r>
      <w:r w:rsidRPr="00F45370">
        <w:rPr>
          <w:rFonts w:ascii="gobCL" w:hAnsi="gobCL"/>
        </w:rPr>
        <w:t>o 2016 y solo tenemos declaraciones de IVA a partir del 1</w:t>
      </w:r>
      <w:r w:rsidRPr="00F45370">
        <w:rPr>
          <w:rFonts w:ascii="gobCL" w:hAnsi="gobCL" w:cs="gobCL"/>
        </w:rPr>
        <w:t>º</w:t>
      </w:r>
      <w:r w:rsidRPr="00F45370">
        <w:rPr>
          <w:rFonts w:ascii="gobCL" w:hAnsi="gobCL"/>
        </w:rPr>
        <w:t xml:space="preserve"> de Enero del 2017 en adelante. </w:t>
      </w:r>
    </w:p>
    <w:p w:rsidR="00482284" w:rsidRPr="00F45370" w:rsidRDefault="00482284" w:rsidP="00F45370">
      <w:pPr>
        <w:spacing w:line="240" w:lineRule="auto"/>
        <w:ind w:left="708"/>
        <w:jc w:val="both"/>
        <w:rPr>
          <w:rFonts w:ascii="gobCL" w:hAnsi="gobCL"/>
        </w:rPr>
      </w:pPr>
      <w:r w:rsidRPr="00F45370">
        <w:rPr>
          <w:rFonts w:ascii="gobCL" w:hAnsi="gobCL"/>
        </w:rPr>
        <w:t>Podemos agregar que en la página del Servicio de Impuestos Internos aparecemos en el segmento de PEQUEÑA EMPRESA, por consiguiente cumplimos con la norma establecida en las BASES.</w:t>
      </w:r>
    </w:p>
    <w:p w:rsidR="000D673F" w:rsidRDefault="000D673F" w:rsidP="00F45370">
      <w:pPr>
        <w:spacing w:line="240" w:lineRule="auto"/>
        <w:ind w:left="708"/>
        <w:jc w:val="both"/>
        <w:rPr>
          <w:rFonts w:ascii="gobCL" w:hAnsi="gobCL"/>
        </w:rPr>
      </w:pPr>
    </w:p>
    <w:p w:rsidR="000D673F" w:rsidRDefault="000D673F" w:rsidP="00F45370">
      <w:pPr>
        <w:spacing w:line="240" w:lineRule="auto"/>
        <w:ind w:left="708"/>
        <w:jc w:val="both"/>
        <w:rPr>
          <w:rFonts w:ascii="gobCL" w:hAnsi="gobCL"/>
        </w:rPr>
      </w:pPr>
    </w:p>
    <w:p w:rsidR="00482284" w:rsidRPr="00F45370" w:rsidRDefault="00482284" w:rsidP="00F45370">
      <w:pPr>
        <w:spacing w:line="240" w:lineRule="auto"/>
        <w:ind w:left="708"/>
        <w:jc w:val="both"/>
        <w:rPr>
          <w:rFonts w:ascii="gobCL" w:hAnsi="gobCL"/>
          <w:bCs/>
        </w:rPr>
      </w:pPr>
      <w:r w:rsidRPr="00F45370">
        <w:rPr>
          <w:rFonts w:ascii="gobCL" w:hAnsi="gobCL"/>
        </w:rPr>
        <w:t>La duda es:</w:t>
      </w:r>
      <w:r w:rsidR="00B11A04" w:rsidRPr="00F45370">
        <w:rPr>
          <w:rFonts w:ascii="gobCL" w:hAnsi="gobCL" w:cs="Courier New"/>
        </w:rPr>
        <w:t xml:space="preserve"> </w:t>
      </w:r>
      <w:r w:rsidRPr="00F45370">
        <w:rPr>
          <w:rFonts w:ascii="gobCL" w:hAnsi="gobCL"/>
          <w:bCs/>
        </w:rPr>
        <w:t>Al no tener Declaraciones de IVA por el año 2016, ¿cómo podemos o que documentos nos sirven para demostrar que somos una Empresa de Menor Tamaño y cumplir con lo establecido en el punto 8 letra b de las bases de Licitación?</w:t>
      </w:r>
    </w:p>
    <w:p w:rsidR="00495625" w:rsidRDefault="00495625"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p>
    <w:p w:rsidR="00050E76" w:rsidRPr="00F45370" w:rsidRDefault="00651A96"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r>
        <w:rPr>
          <w:rFonts w:ascii="gobCL" w:eastAsia="Times New Roman" w:hAnsi="gobCL" w:cs="Arial"/>
          <w:b/>
          <w:color w:val="1F497D" w:themeColor="text2"/>
          <w:lang w:val="es-ES_tradnl" w:eastAsia="es-ES"/>
        </w:rPr>
        <w:t>De</w:t>
      </w:r>
      <w:r w:rsidR="00B11A04" w:rsidRPr="00F45370">
        <w:rPr>
          <w:rFonts w:ascii="gobCL" w:eastAsia="Times New Roman" w:hAnsi="gobCL" w:cs="Arial"/>
          <w:b/>
          <w:color w:val="1F497D" w:themeColor="text2"/>
          <w:lang w:val="es-ES_tradnl" w:eastAsia="es-ES"/>
        </w:rPr>
        <w:t xml:space="preserve"> acuerdo a lo señalado </w:t>
      </w:r>
      <w:r w:rsidR="00050E76" w:rsidRPr="00F45370">
        <w:rPr>
          <w:rFonts w:ascii="gobCL" w:eastAsia="Times New Roman" w:hAnsi="gobCL" w:cs="Arial"/>
          <w:b/>
          <w:color w:val="1F497D" w:themeColor="text2"/>
          <w:lang w:val="es-ES_tradnl" w:eastAsia="es-ES"/>
        </w:rPr>
        <w:t>en el artí</w:t>
      </w:r>
      <w:r w:rsidR="00B11A04" w:rsidRPr="00F45370">
        <w:rPr>
          <w:rFonts w:ascii="gobCL" w:eastAsia="Times New Roman" w:hAnsi="gobCL" w:cs="Arial"/>
          <w:b/>
          <w:color w:val="1F497D" w:themeColor="text2"/>
          <w:lang w:val="es-ES_tradnl" w:eastAsia="es-ES"/>
        </w:rPr>
        <w:t>culo 8° letra ii) de Reglamento</w:t>
      </w:r>
      <w:r w:rsidR="00050E76" w:rsidRPr="00F45370">
        <w:rPr>
          <w:rFonts w:ascii="gobCL" w:eastAsia="Times New Roman" w:hAnsi="gobCL" w:cs="Arial"/>
          <w:b/>
          <w:color w:val="1F497D" w:themeColor="text2"/>
          <w:lang w:val="es-ES_tradnl" w:eastAsia="es-ES"/>
        </w:rPr>
        <w:t xml:space="preserve"> de Subasta de Licencias Transables de Pesca Clase B, aprobado mediante D.S. N° 103 de 2015</w:t>
      </w:r>
      <w:r w:rsidR="009A6983" w:rsidRPr="00F45370">
        <w:rPr>
          <w:rFonts w:ascii="gobCL" w:eastAsia="Times New Roman" w:hAnsi="gobCL" w:cs="Arial"/>
          <w:b/>
          <w:color w:val="1F497D" w:themeColor="text2"/>
          <w:lang w:val="es-ES_tradnl" w:eastAsia="es-ES"/>
        </w:rPr>
        <w:t>,</w:t>
      </w:r>
      <w:r w:rsidR="009A6983" w:rsidRPr="00F45370">
        <w:rPr>
          <w:rFonts w:ascii="gobCL" w:hAnsi="gobCL"/>
          <w:b/>
          <w:color w:val="1F497D" w:themeColor="text2"/>
        </w:rPr>
        <w:t xml:space="preserve"> del Ministerio de Economía, Fomento y Turismo</w:t>
      </w:r>
      <w:r w:rsidR="00050E76" w:rsidRPr="00F45370">
        <w:rPr>
          <w:rFonts w:ascii="gobCL" w:eastAsia="Times New Roman" w:hAnsi="gobCL" w:cs="Arial"/>
          <w:b/>
          <w:color w:val="1F497D" w:themeColor="text2"/>
          <w:lang w:val="es-ES_tradnl" w:eastAsia="es-ES"/>
        </w:rPr>
        <w:t>.</w:t>
      </w:r>
    </w:p>
    <w:p w:rsidR="00050E76" w:rsidRPr="00F45370" w:rsidRDefault="00050E76" w:rsidP="00F45370">
      <w:pPr>
        <w:overflowPunct w:val="0"/>
        <w:autoSpaceDE w:val="0"/>
        <w:autoSpaceDN w:val="0"/>
        <w:adjustRightInd w:val="0"/>
        <w:spacing w:after="0" w:line="240" w:lineRule="auto"/>
        <w:contextualSpacing/>
        <w:jc w:val="both"/>
        <w:textAlignment w:val="baseline"/>
        <w:rPr>
          <w:rFonts w:ascii="gobCL" w:eastAsia="Times New Roman" w:hAnsi="gobCL" w:cs="Arial"/>
          <w:b/>
          <w:color w:val="1F497D" w:themeColor="text2"/>
          <w:lang w:val="es-ES_tradnl" w:eastAsia="es-ES"/>
        </w:rPr>
      </w:pPr>
    </w:p>
    <w:p w:rsidR="00050E76" w:rsidRPr="00F45370" w:rsidRDefault="00050E76"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 xml:space="preserve">Los </w:t>
      </w:r>
      <w:r w:rsidR="009A6983" w:rsidRPr="00F45370">
        <w:rPr>
          <w:rFonts w:ascii="gobCL" w:eastAsia="Times New Roman" w:hAnsi="gobCL" w:cs="Arial"/>
          <w:b/>
          <w:color w:val="1F497D" w:themeColor="text2"/>
          <w:lang w:val="es-ES_tradnl" w:eastAsia="es-ES"/>
        </w:rPr>
        <w:t>interesados</w:t>
      </w:r>
      <w:r w:rsidRPr="00F45370">
        <w:rPr>
          <w:rFonts w:ascii="gobCL" w:eastAsia="Times New Roman" w:hAnsi="gobCL" w:cs="Arial"/>
          <w:b/>
          <w:color w:val="1F497D" w:themeColor="text2"/>
          <w:lang w:val="es-ES_tradnl" w:eastAsia="es-ES"/>
        </w:rPr>
        <w:t xml:space="preserve"> en participar en la subasta deberán cumplir con los siguientes requisitos:</w:t>
      </w:r>
    </w:p>
    <w:p w:rsidR="007F504A" w:rsidRPr="00F45370" w:rsidRDefault="007F504A"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p>
    <w:p w:rsidR="00050E76" w:rsidRPr="00F45370" w:rsidRDefault="00050E76"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 xml:space="preserve">ii) En el caso de las empresas </w:t>
      </w:r>
      <w:r w:rsidR="001C637A" w:rsidRPr="00F45370">
        <w:rPr>
          <w:rFonts w:ascii="gobCL" w:eastAsia="Times New Roman" w:hAnsi="gobCL" w:cs="Arial"/>
          <w:b/>
          <w:color w:val="1F497D" w:themeColor="text2"/>
          <w:lang w:val="es-ES_tradnl" w:eastAsia="es-ES"/>
        </w:rPr>
        <w:t>de</w:t>
      </w:r>
      <w:r w:rsidRPr="00F45370">
        <w:rPr>
          <w:rFonts w:ascii="gobCL" w:eastAsia="Times New Roman" w:hAnsi="gobCL" w:cs="Arial"/>
          <w:b/>
          <w:color w:val="1F497D" w:themeColor="text2"/>
          <w:lang w:val="es-ES_tradnl" w:eastAsia="es-ES"/>
        </w:rPr>
        <w:t xml:space="preserve"> menor tamaño, acreditar,  además que durante </w:t>
      </w:r>
      <w:r w:rsidR="001C637A" w:rsidRPr="00F45370">
        <w:rPr>
          <w:rFonts w:ascii="gobCL" w:eastAsia="Times New Roman" w:hAnsi="gobCL" w:cs="Arial"/>
          <w:b/>
          <w:color w:val="1F497D" w:themeColor="text2"/>
          <w:lang w:val="es-ES_tradnl" w:eastAsia="es-ES"/>
        </w:rPr>
        <w:t>el</w:t>
      </w:r>
      <w:r w:rsidRPr="00F45370">
        <w:rPr>
          <w:rFonts w:ascii="gobCL" w:eastAsia="Times New Roman" w:hAnsi="gobCL" w:cs="Arial"/>
          <w:b/>
          <w:color w:val="1F497D" w:themeColor="text2"/>
          <w:lang w:val="es-ES_tradnl" w:eastAsia="es-ES"/>
        </w:rPr>
        <w:t xml:space="preserve"> año </w:t>
      </w:r>
      <w:r w:rsidR="001C637A" w:rsidRPr="00F45370">
        <w:rPr>
          <w:rFonts w:ascii="gobCL" w:eastAsia="Times New Roman" w:hAnsi="gobCL" w:cs="Arial"/>
          <w:b/>
          <w:color w:val="1F497D" w:themeColor="text2"/>
          <w:lang w:val="es-ES_tradnl" w:eastAsia="es-ES"/>
        </w:rPr>
        <w:t>calendario</w:t>
      </w:r>
      <w:r w:rsidRPr="00F45370">
        <w:rPr>
          <w:rFonts w:ascii="gobCL" w:eastAsia="Times New Roman" w:hAnsi="gobCL" w:cs="Arial"/>
          <w:b/>
          <w:color w:val="1F497D" w:themeColor="text2"/>
          <w:lang w:val="es-ES_tradnl" w:eastAsia="es-ES"/>
        </w:rPr>
        <w:t xml:space="preserve"> anterio</w:t>
      </w:r>
      <w:r w:rsidR="001C637A" w:rsidRPr="00F45370">
        <w:rPr>
          <w:rFonts w:ascii="gobCL" w:eastAsia="Times New Roman" w:hAnsi="gobCL" w:cs="Arial"/>
          <w:b/>
          <w:color w:val="1F497D" w:themeColor="text2"/>
          <w:lang w:val="es-ES_tradnl" w:eastAsia="es-ES"/>
        </w:rPr>
        <w:t>r</w:t>
      </w:r>
      <w:r w:rsidRPr="00F45370">
        <w:rPr>
          <w:rFonts w:ascii="gobCL" w:eastAsia="Times New Roman" w:hAnsi="gobCL" w:cs="Arial"/>
          <w:b/>
          <w:color w:val="1F497D" w:themeColor="text2"/>
          <w:lang w:val="es-ES_tradnl" w:eastAsia="es-ES"/>
        </w:rPr>
        <w:t xml:space="preserve"> al de la subasta, la empresa ha </w:t>
      </w:r>
      <w:r w:rsidR="001C637A" w:rsidRPr="00F45370">
        <w:rPr>
          <w:rFonts w:ascii="gobCL" w:eastAsia="Times New Roman" w:hAnsi="gobCL" w:cs="Arial"/>
          <w:b/>
          <w:color w:val="1F497D" w:themeColor="text2"/>
          <w:lang w:val="es-ES_tradnl" w:eastAsia="es-ES"/>
        </w:rPr>
        <w:t>tenido la calidad de empresas d</w:t>
      </w:r>
      <w:r w:rsidRPr="00F45370">
        <w:rPr>
          <w:rFonts w:ascii="gobCL" w:eastAsia="Times New Roman" w:hAnsi="gobCL" w:cs="Arial"/>
          <w:b/>
          <w:color w:val="1F497D" w:themeColor="text2"/>
          <w:lang w:val="es-ES_tradnl" w:eastAsia="es-ES"/>
        </w:rPr>
        <w:t>e</w:t>
      </w:r>
      <w:r w:rsidR="001C637A" w:rsidRPr="00F45370">
        <w:rPr>
          <w:rFonts w:ascii="gobCL" w:eastAsia="Times New Roman" w:hAnsi="gobCL" w:cs="Arial"/>
          <w:b/>
          <w:color w:val="1F497D" w:themeColor="text2"/>
          <w:lang w:val="es-ES_tradnl" w:eastAsia="es-ES"/>
        </w:rPr>
        <w:t xml:space="preserve"> </w:t>
      </w:r>
      <w:r w:rsidRPr="00F45370">
        <w:rPr>
          <w:rFonts w:ascii="gobCL" w:eastAsia="Times New Roman" w:hAnsi="gobCL" w:cs="Arial"/>
          <w:b/>
          <w:color w:val="1F497D" w:themeColor="text2"/>
          <w:lang w:val="es-ES_tradnl" w:eastAsia="es-ES"/>
        </w:rPr>
        <w:t xml:space="preserve">menor tamaño de </w:t>
      </w:r>
      <w:r w:rsidR="001C637A" w:rsidRPr="00F45370">
        <w:rPr>
          <w:rFonts w:ascii="gobCL" w:eastAsia="Times New Roman" w:hAnsi="gobCL" w:cs="Arial"/>
          <w:b/>
          <w:color w:val="1F497D" w:themeColor="text2"/>
          <w:lang w:val="es-ES_tradnl" w:eastAsia="es-ES"/>
        </w:rPr>
        <w:t>conformidad</w:t>
      </w:r>
      <w:r w:rsidRPr="00F45370">
        <w:rPr>
          <w:rFonts w:ascii="gobCL" w:eastAsia="Times New Roman" w:hAnsi="gobCL" w:cs="Arial"/>
          <w:b/>
          <w:color w:val="1F497D" w:themeColor="text2"/>
          <w:lang w:val="es-ES_tradnl" w:eastAsia="es-ES"/>
        </w:rPr>
        <w:t xml:space="preserve"> con el art</w:t>
      </w:r>
      <w:r w:rsidR="001C637A" w:rsidRPr="00F45370">
        <w:rPr>
          <w:rFonts w:ascii="gobCL" w:eastAsia="Times New Roman" w:hAnsi="gobCL" w:cs="Arial"/>
          <w:b/>
          <w:color w:val="1F497D" w:themeColor="text2"/>
          <w:lang w:val="es-ES_tradnl" w:eastAsia="es-ES"/>
        </w:rPr>
        <w:t>ículo segundo de la Ley N</w:t>
      </w:r>
      <w:r w:rsidRPr="00F45370">
        <w:rPr>
          <w:rFonts w:ascii="gobCL" w:eastAsia="Times New Roman" w:hAnsi="gobCL" w:cs="Arial"/>
          <w:b/>
          <w:color w:val="1F497D" w:themeColor="text2"/>
          <w:lang w:val="es-ES_tradnl" w:eastAsia="es-ES"/>
        </w:rPr>
        <w:t xml:space="preserve">° 20.416, acreditado mediante </w:t>
      </w:r>
      <w:r w:rsidR="001C637A" w:rsidRPr="00F45370">
        <w:rPr>
          <w:rFonts w:ascii="gobCL" w:eastAsia="Times New Roman" w:hAnsi="gobCL" w:cs="Arial"/>
          <w:b/>
          <w:color w:val="1F497D" w:themeColor="text2"/>
          <w:lang w:val="es-ES_tradnl" w:eastAsia="es-ES"/>
        </w:rPr>
        <w:t>documento</w:t>
      </w:r>
      <w:r w:rsidRPr="00F45370">
        <w:rPr>
          <w:rFonts w:ascii="gobCL" w:eastAsia="Times New Roman" w:hAnsi="gobCL" w:cs="Arial"/>
          <w:b/>
          <w:color w:val="1F497D" w:themeColor="text2"/>
          <w:lang w:val="es-ES_tradnl" w:eastAsia="es-ES"/>
        </w:rPr>
        <w:t xml:space="preserve"> emanado del </w:t>
      </w:r>
      <w:r w:rsidR="001C637A" w:rsidRPr="00F45370">
        <w:rPr>
          <w:rFonts w:ascii="gobCL" w:eastAsia="Times New Roman" w:hAnsi="gobCL" w:cs="Arial"/>
          <w:b/>
          <w:color w:val="1F497D" w:themeColor="text2"/>
          <w:lang w:val="es-ES_tradnl" w:eastAsia="es-ES"/>
        </w:rPr>
        <w:t>Servicio</w:t>
      </w:r>
      <w:r w:rsidRPr="00F45370">
        <w:rPr>
          <w:rFonts w:ascii="gobCL" w:eastAsia="Times New Roman" w:hAnsi="gobCL" w:cs="Arial"/>
          <w:b/>
          <w:color w:val="1F497D" w:themeColor="text2"/>
          <w:lang w:val="es-ES_tradnl" w:eastAsia="es-ES"/>
        </w:rPr>
        <w:t xml:space="preserve"> de Impuestos Internos.</w:t>
      </w:r>
    </w:p>
    <w:p w:rsidR="001C637A" w:rsidRPr="00F45370" w:rsidRDefault="001C637A" w:rsidP="00F45370">
      <w:pPr>
        <w:overflowPunct w:val="0"/>
        <w:autoSpaceDE w:val="0"/>
        <w:autoSpaceDN w:val="0"/>
        <w:adjustRightInd w:val="0"/>
        <w:spacing w:after="0" w:line="240" w:lineRule="auto"/>
        <w:contextualSpacing/>
        <w:jc w:val="both"/>
        <w:textAlignment w:val="baseline"/>
        <w:rPr>
          <w:rFonts w:ascii="gobCL" w:eastAsia="Times New Roman" w:hAnsi="gobCL" w:cs="Arial"/>
          <w:lang w:val="es-ES_tradnl" w:eastAsia="es-ES"/>
        </w:rPr>
      </w:pPr>
    </w:p>
    <w:p w:rsidR="001C637A" w:rsidRPr="00F45370" w:rsidRDefault="001C637A" w:rsidP="00F45370">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 xml:space="preserve">Según las bases administrativas </w:t>
      </w:r>
      <w:r w:rsidR="007F504A" w:rsidRPr="00F45370">
        <w:rPr>
          <w:rFonts w:ascii="gobCL" w:eastAsia="Times New Roman" w:hAnsi="gobCL" w:cs="Arial"/>
          <w:b/>
          <w:color w:val="1F497D" w:themeColor="text2"/>
          <w:u w:val="single"/>
          <w:lang w:val="es-ES_tradnl" w:eastAsia="es-ES"/>
        </w:rPr>
        <w:t>p</w:t>
      </w:r>
      <w:r w:rsidRPr="00F45370">
        <w:rPr>
          <w:rFonts w:ascii="gobCL" w:eastAsia="Times New Roman" w:hAnsi="gobCL" w:cs="Arial"/>
          <w:b/>
          <w:color w:val="1F497D" w:themeColor="text2"/>
          <w:u w:val="single"/>
          <w:lang w:val="es-ES_tradnl" w:eastAsia="es-ES"/>
        </w:rPr>
        <w:t>ara acreditar este requisito se deberán presentar copia</w:t>
      </w:r>
      <w:r w:rsidR="007F504A" w:rsidRPr="00F45370">
        <w:rPr>
          <w:rFonts w:ascii="gobCL" w:eastAsia="Times New Roman" w:hAnsi="gobCL" w:cs="Arial"/>
          <w:b/>
          <w:color w:val="1F497D" w:themeColor="text2"/>
          <w:u w:val="single"/>
          <w:lang w:val="es-ES_tradnl" w:eastAsia="es-ES"/>
        </w:rPr>
        <w:t>s</w:t>
      </w:r>
      <w:r w:rsidRPr="00F45370">
        <w:rPr>
          <w:rFonts w:ascii="gobCL" w:eastAsia="Times New Roman" w:hAnsi="gobCL" w:cs="Arial"/>
          <w:b/>
          <w:color w:val="1F497D" w:themeColor="text2"/>
          <w:u w:val="single"/>
          <w:lang w:val="es-ES_tradnl" w:eastAsia="es-ES"/>
        </w:rPr>
        <w:t xml:space="preserve"> autorizada</w:t>
      </w:r>
      <w:r w:rsidR="007F504A" w:rsidRPr="00F45370">
        <w:rPr>
          <w:rFonts w:ascii="gobCL" w:eastAsia="Times New Roman" w:hAnsi="gobCL" w:cs="Arial"/>
          <w:b/>
          <w:color w:val="1F497D" w:themeColor="text2"/>
          <w:u w:val="single"/>
          <w:lang w:val="es-ES_tradnl" w:eastAsia="es-ES"/>
        </w:rPr>
        <w:t>s</w:t>
      </w:r>
      <w:r w:rsidRPr="00F45370">
        <w:rPr>
          <w:rFonts w:ascii="gobCL" w:eastAsia="Times New Roman" w:hAnsi="gobCL" w:cs="Arial"/>
          <w:b/>
          <w:color w:val="1F497D" w:themeColor="text2"/>
          <w:u w:val="single"/>
          <w:lang w:val="es-ES_tradnl" w:eastAsia="es-ES"/>
        </w:rPr>
        <w:t xml:space="preserve"> ante Notario de las declaraciones de IVA presentadas al Servicio de Impuestos Internos para el año calendario 2016</w:t>
      </w:r>
      <w:r w:rsidR="007F504A" w:rsidRPr="00F45370">
        <w:rPr>
          <w:rFonts w:ascii="gobCL" w:eastAsia="Times New Roman" w:hAnsi="gobCL" w:cs="Arial"/>
          <w:b/>
          <w:color w:val="1F497D" w:themeColor="text2"/>
          <w:lang w:val="es-ES_tradnl" w:eastAsia="es-ES"/>
        </w:rPr>
        <w:t xml:space="preserve"> </w:t>
      </w:r>
      <w:r w:rsidRPr="00F45370">
        <w:rPr>
          <w:rFonts w:ascii="gobCL" w:hAnsi="gobCL" w:cs="Times New Roman"/>
          <w:b/>
          <w:color w:val="1F497D" w:themeColor="text2"/>
          <w:lang w:eastAsia="es-CL"/>
        </w:rPr>
        <w:t>(formulario 29 del SII).</w:t>
      </w:r>
    </w:p>
    <w:p w:rsidR="001C637A" w:rsidRPr="00F45370" w:rsidRDefault="001C637A" w:rsidP="00F45370">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1F497D" w:themeColor="text2"/>
          <w:lang w:val="es-ES_tradnl" w:eastAsia="es-ES"/>
        </w:rPr>
      </w:pPr>
    </w:p>
    <w:p w:rsidR="001C637A" w:rsidRPr="00F45370" w:rsidRDefault="001C637A" w:rsidP="00F45370">
      <w:pPr>
        <w:spacing w:after="0" w:line="240" w:lineRule="auto"/>
        <w:ind w:left="708"/>
        <w:jc w:val="both"/>
        <w:rPr>
          <w:rFonts w:ascii="gobCL" w:hAnsi="gobCL" w:cs="Times New Roman"/>
          <w:b/>
          <w:color w:val="1F497D" w:themeColor="text2"/>
          <w:lang w:val="es-MX" w:eastAsia="es-CL"/>
        </w:rPr>
      </w:pPr>
      <w:r w:rsidRPr="00F45370">
        <w:rPr>
          <w:rFonts w:ascii="gobCL" w:hAnsi="gobCL" w:cs="Times New Roman"/>
          <w:b/>
          <w:color w:val="1F497D" w:themeColor="text2"/>
          <w:lang w:val="es-MX" w:eastAsia="es-CL"/>
        </w:rPr>
        <w:t xml:space="preserve">Por lo que se debe necesariamente acreditar que ha tenido ventas por bienes y servicios en el año tributario 2016 por los montos que establece el artículo 2 de la Ley </w:t>
      </w:r>
      <w:r w:rsidR="001A3D6D">
        <w:rPr>
          <w:rFonts w:ascii="gobCL" w:hAnsi="gobCL" w:cs="Times New Roman"/>
          <w:b/>
          <w:color w:val="1F497D" w:themeColor="text2"/>
          <w:lang w:val="es-MX" w:eastAsia="es-CL"/>
        </w:rPr>
        <w:t xml:space="preserve">N° </w:t>
      </w:r>
      <w:r w:rsidRPr="00F45370">
        <w:rPr>
          <w:rFonts w:ascii="gobCL" w:hAnsi="gobCL" w:cs="Times New Roman"/>
          <w:b/>
          <w:color w:val="1F497D" w:themeColor="text2"/>
          <w:lang w:val="es-MX" w:eastAsia="es-CL"/>
        </w:rPr>
        <w:t>20.416, que establece las empresas de menor tamaño:</w:t>
      </w:r>
    </w:p>
    <w:p w:rsidR="007F504A" w:rsidRPr="00F45370" w:rsidRDefault="007F504A" w:rsidP="00F45370">
      <w:pPr>
        <w:spacing w:after="0" w:line="240" w:lineRule="auto"/>
        <w:ind w:left="708"/>
        <w:jc w:val="both"/>
        <w:rPr>
          <w:rFonts w:ascii="gobCL" w:hAnsi="gobCL" w:cs="Times New Roman"/>
          <w:b/>
          <w:color w:val="1F497D" w:themeColor="text2"/>
          <w:lang w:val="es-MX" w:eastAsia="es-CL"/>
        </w:rPr>
      </w:pPr>
    </w:p>
    <w:p w:rsidR="001C637A" w:rsidRPr="00F45370" w:rsidRDefault="001C637A" w:rsidP="00F45370">
      <w:pPr>
        <w:spacing w:after="0" w:line="240" w:lineRule="auto"/>
        <w:ind w:firstLine="708"/>
        <w:jc w:val="both"/>
        <w:rPr>
          <w:rFonts w:ascii="gobCL" w:hAnsi="gobCL" w:cs="Times New Roman"/>
          <w:b/>
          <w:color w:val="1F497D" w:themeColor="text2"/>
          <w:lang w:val="es-MX" w:eastAsia="es-CL"/>
        </w:rPr>
      </w:pPr>
      <w:r w:rsidRPr="00F45370">
        <w:rPr>
          <w:rFonts w:ascii="gobCL" w:hAnsi="gobCL" w:cs="Times New Roman"/>
          <w:b/>
          <w:color w:val="1F497D" w:themeColor="text2"/>
          <w:lang w:val="es-MX" w:eastAsia="es-CL"/>
        </w:rPr>
        <w:t>Microempresas: ventas hasta 2</w:t>
      </w:r>
      <w:r w:rsidR="00495625">
        <w:rPr>
          <w:rFonts w:ascii="gobCL" w:hAnsi="gobCL" w:cs="Times New Roman"/>
          <w:b/>
          <w:color w:val="1F497D" w:themeColor="text2"/>
          <w:lang w:val="es-MX" w:eastAsia="es-CL"/>
        </w:rPr>
        <w:t>.</w:t>
      </w:r>
      <w:r w:rsidRPr="00F45370">
        <w:rPr>
          <w:rFonts w:ascii="gobCL" w:hAnsi="gobCL" w:cs="Times New Roman"/>
          <w:b/>
          <w:color w:val="1F497D" w:themeColor="text2"/>
          <w:lang w:val="es-MX" w:eastAsia="es-CL"/>
        </w:rPr>
        <w:t>500 UF</w:t>
      </w:r>
    </w:p>
    <w:p w:rsidR="001C637A" w:rsidRPr="00F45370" w:rsidRDefault="001C637A" w:rsidP="00F45370">
      <w:pPr>
        <w:spacing w:after="0" w:line="240" w:lineRule="auto"/>
        <w:ind w:firstLine="708"/>
        <w:jc w:val="both"/>
        <w:rPr>
          <w:rFonts w:ascii="gobCL" w:hAnsi="gobCL" w:cs="Times New Roman"/>
          <w:b/>
          <w:color w:val="1F497D" w:themeColor="text2"/>
          <w:lang w:val="es-MX" w:eastAsia="es-CL"/>
        </w:rPr>
      </w:pPr>
      <w:r w:rsidRPr="00F45370">
        <w:rPr>
          <w:rFonts w:ascii="gobCL" w:hAnsi="gobCL" w:cs="Times New Roman"/>
          <w:b/>
          <w:color w:val="1F497D" w:themeColor="text2"/>
          <w:lang w:val="es-MX" w:eastAsia="es-CL"/>
        </w:rPr>
        <w:t>Pequeña empresa: ventas desde 2</w:t>
      </w:r>
      <w:r w:rsidR="00495625">
        <w:rPr>
          <w:rFonts w:ascii="gobCL" w:hAnsi="gobCL" w:cs="Times New Roman"/>
          <w:b/>
          <w:color w:val="1F497D" w:themeColor="text2"/>
          <w:lang w:val="es-MX" w:eastAsia="es-CL"/>
        </w:rPr>
        <w:t>.</w:t>
      </w:r>
      <w:r w:rsidRPr="00F45370">
        <w:rPr>
          <w:rFonts w:ascii="gobCL" w:hAnsi="gobCL" w:cs="Times New Roman"/>
          <w:b/>
          <w:color w:val="1F497D" w:themeColor="text2"/>
          <w:lang w:val="es-MX" w:eastAsia="es-CL"/>
        </w:rPr>
        <w:t>500 hasta 25</w:t>
      </w:r>
      <w:r w:rsidR="00495625">
        <w:rPr>
          <w:rFonts w:ascii="gobCL" w:hAnsi="gobCL" w:cs="Times New Roman"/>
          <w:b/>
          <w:color w:val="1F497D" w:themeColor="text2"/>
          <w:lang w:val="es-MX" w:eastAsia="es-CL"/>
        </w:rPr>
        <w:t>.</w:t>
      </w:r>
      <w:r w:rsidRPr="00F45370">
        <w:rPr>
          <w:rFonts w:ascii="gobCL" w:hAnsi="gobCL" w:cs="Times New Roman"/>
          <w:b/>
          <w:color w:val="1F497D" w:themeColor="text2"/>
          <w:lang w:val="es-MX" w:eastAsia="es-CL"/>
        </w:rPr>
        <w:t>000 UF</w:t>
      </w:r>
    </w:p>
    <w:p w:rsidR="001C637A" w:rsidRPr="00F45370" w:rsidRDefault="001C637A" w:rsidP="00F45370">
      <w:pPr>
        <w:spacing w:after="0" w:line="240" w:lineRule="auto"/>
        <w:ind w:firstLine="708"/>
        <w:jc w:val="both"/>
        <w:rPr>
          <w:rFonts w:ascii="gobCL" w:hAnsi="gobCL" w:cs="Times New Roman"/>
          <w:b/>
          <w:color w:val="1F497D" w:themeColor="text2"/>
          <w:lang w:val="es-MX" w:eastAsia="es-CL"/>
        </w:rPr>
      </w:pPr>
      <w:r w:rsidRPr="00F45370">
        <w:rPr>
          <w:rFonts w:ascii="gobCL" w:hAnsi="gobCL" w:cs="Times New Roman"/>
          <w:b/>
          <w:color w:val="1F497D" w:themeColor="text2"/>
          <w:lang w:val="es-MX" w:eastAsia="es-CL"/>
        </w:rPr>
        <w:t>Mediana empresa: ventas desde 25.000 hasta 100.000 UF</w:t>
      </w:r>
    </w:p>
    <w:p w:rsidR="001C637A" w:rsidRPr="00F45370" w:rsidRDefault="001C637A" w:rsidP="00F45370">
      <w:pPr>
        <w:spacing w:after="0" w:line="240" w:lineRule="auto"/>
        <w:jc w:val="both"/>
        <w:rPr>
          <w:rFonts w:ascii="gobCL" w:hAnsi="gobCL" w:cs="Times New Roman"/>
          <w:b/>
          <w:color w:val="1F497D" w:themeColor="text2"/>
          <w:lang w:val="es-MX" w:eastAsia="es-CL"/>
        </w:rPr>
      </w:pPr>
    </w:p>
    <w:p w:rsidR="001C637A" w:rsidRPr="00F45370" w:rsidRDefault="001C637A"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Sin perjuicio de ello, el sindicato que no califica como EMT puede postular a los lotes todo oferente.</w:t>
      </w:r>
    </w:p>
    <w:p w:rsidR="001C637A" w:rsidRPr="00F45370" w:rsidRDefault="001C637A" w:rsidP="00F45370">
      <w:pPr>
        <w:spacing w:after="0" w:line="240" w:lineRule="auto"/>
        <w:jc w:val="both"/>
        <w:rPr>
          <w:rFonts w:ascii="gobCL" w:hAnsi="gobCL" w:cs="Times New Roman"/>
          <w:lang w:val="es-MX" w:eastAsia="es-CL"/>
        </w:rPr>
      </w:pPr>
    </w:p>
    <w:p w:rsidR="009A6983" w:rsidRPr="00F45370" w:rsidRDefault="001C637A" w:rsidP="00F45370">
      <w:pPr>
        <w:pStyle w:val="Prrafodelista"/>
        <w:numPr>
          <w:ilvl w:val="0"/>
          <w:numId w:val="8"/>
        </w:numPr>
        <w:spacing w:after="240" w:line="240" w:lineRule="auto"/>
        <w:jc w:val="both"/>
        <w:rPr>
          <w:rFonts w:ascii="gobCL" w:eastAsia="Times New Roman" w:hAnsi="gobCL"/>
        </w:rPr>
      </w:pPr>
      <w:r w:rsidRPr="00F45370">
        <w:rPr>
          <w:rFonts w:ascii="gobCL" w:eastAsia="Times New Roman" w:hAnsi="gobCL"/>
        </w:rPr>
        <w:t>Q</w:t>
      </w:r>
      <w:r w:rsidR="008040AF" w:rsidRPr="00F45370">
        <w:rPr>
          <w:rFonts w:ascii="gobCL" w:eastAsia="Times New Roman" w:hAnsi="gobCL"/>
        </w:rPr>
        <w:t>uería</w:t>
      </w:r>
      <w:r w:rsidR="00A4725E" w:rsidRPr="00F45370">
        <w:rPr>
          <w:rFonts w:ascii="gobCL" w:eastAsia="Times New Roman" w:hAnsi="gobCL"/>
        </w:rPr>
        <w:t xml:space="preserve"> consultar por la forma de las </w:t>
      </w:r>
      <w:r w:rsidR="008040AF" w:rsidRPr="00F45370">
        <w:rPr>
          <w:rFonts w:ascii="gobCL" w:eastAsia="Times New Roman" w:hAnsi="gobCL"/>
        </w:rPr>
        <w:t>garantías</w:t>
      </w:r>
      <w:r w:rsidR="00A4725E" w:rsidRPr="00F45370">
        <w:rPr>
          <w:rFonts w:ascii="gobCL" w:eastAsia="Times New Roman" w:hAnsi="gobCL"/>
        </w:rPr>
        <w:t xml:space="preserve"> en la subasta, ya sea si es en vale vista, si se puede en efectivo o que otras opciones hay para dejar en el sobre.</w:t>
      </w:r>
    </w:p>
    <w:p w:rsidR="009A6983" w:rsidRDefault="009A6983"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b/>
          <w:color w:val="1F497D" w:themeColor="text2"/>
        </w:rPr>
        <w:t>De acuerdo a lo señalado en el punto 6 de las bases administrativas en el sobre 1 denominado</w:t>
      </w:r>
      <w:r w:rsidRPr="00F45370">
        <w:rPr>
          <w:rFonts w:ascii="gobCL" w:eastAsia="Times New Roman" w:hAnsi="gobCL" w:cs="Arial"/>
          <w:b/>
          <w:color w:val="1F497D" w:themeColor="text2"/>
          <w:lang w:val="es-ES_tradnl" w:eastAsia="es-ES"/>
        </w:rPr>
        <w:t xml:space="preserve"> Antecedentes Administrativos” deberá entregarse un documento de garantía de seriedad de la oferta, que podrá consistir en:</w:t>
      </w:r>
    </w:p>
    <w:p w:rsidR="00177862" w:rsidRDefault="00177862"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p>
    <w:p w:rsidR="00177862" w:rsidRDefault="00177862"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p>
    <w:p w:rsidR="00177862" w:rsidRDefault="00177862"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p>
    <w:p w:rsidR="009A6983" w:rsidRPr="00F45370" w:rsidRDefault="009A6983" w:rsidP="00F45370">
      <w:pPr>
        <w:overflowPunct w:val="0"/>
        <w:autoSpaceDE w:val="0"/>
        <w:autoSpaceDN w:val="0"/>
        <w:adjustRightInd w:val="0"/>
        <w:spacing w:after="0" w:line="240" w:lineRule="auto"/>
        <w:contextualSpacing/>
        <w:jc w:val="both"/>
        <w:textAlignment w:val="baseline"/>
        <w:rPr>
          <w:rFonts w:ascii="gobCL" w:eastAsia="Times New Roman" w:hAnsi="gobCL" w:cs="Arial"/>
          <w:b/>
          <w:color w:val="1F497D" w:themeColor="text2"/>
          <w:lang w:val="es-ES_tradnl" w:eastAsia="es-ES"/>
        </w:rPr>
      </w:pPr>
    </w:p>
    <w:p w:rsidR="009A6983" w:rsidRPr="00F45370" w:rsidRDefault="009A6983" w:rsidP="00F45370">
      <w:pPr>
        <w:pStyle w:val="Prrafodelista"/>
        <w:numPr>
          <w:ilvl w:val="0"/>
          <w:numId w:val="6"/>
        </w:numPr>
        <w:overflowPunct w:val="0"/>
        <w:autoSpaceDE w:val="0"/>
        <w:autoSpaceDN w:val="0"/>
        <w:adjustRightInd w:val="0"/>
        <w:spacing w:after="0" w:line="240" w:lineRule="auto"/>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Vale vista bancario de garantía pagadera a la vista.</w:t>
      </w:r>
    </w:p>
    <w:p w:rsidR="009A6983" w:rsidRPr="00F45370" w:rsidRDefault="009A6983" w:rsidP="00F45370">
      <w:pPr>
        <w:pStyle w:val="Prrafodelista"/>
        <w:numPr>
          <w:ilvl w:val="0"/>
          <w:numId w:val="6"/>
        </w:numPr>
        <w:overflowPunct w:val="0"/>
        <w:autoSpaceDE w:val="0"/>
        <w:autoSpaceDN w:val="0"/>
        <w:adjustRightInd w:val="0"/>
        <w:spacing w:after="0" w:line="240" w:lineRule="auto"/>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Boleta bancaria de garantía pagadera a la vista o</w:t>
      </w:r>
    </w:p>
    <w:p w:rsidR="009A6983" w:rsidRDefault="009A6983" w:rsidP="00F45370">
      <w:pPr>
        <w:pStyle w:val="Prrafodelista"/>
        <w:numPr>
          <w:ilvl w:val="0"/>
          <w:numId w:val="6"/>
        </w:numPr>
        <w:overflowPunct w:val="0"/>
        <w:autoSpaceDE w:val="0"/>
        <w:autoSpaceDN w:val="0"/>
        <w:adjustRightInd w:val="0"/>
        <w:spacing w:after="0" w:line="240" w:lineRule="auto"/>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Póliza de seguro con cláusula de ejecución inmediata y sin liquidador, emitidos por un banco o compañía de seguros establecido en Chile a nombre de la Subsecretaría de Pesca y Acuicultura, con vigencia de lo menos 2 meses contados desde la fecha de la subasta.</w:t>
      </w:r>
    </w:p>
    <w:p w:rsidR="00177862" w:rsidRPr="00F45370" w:rsidRDefault="00177862" w:rsidP="00177862">
      <w:pPr>
        <w:pStyle w:val="Prrafodelista"/>
        <w:overflowPunct w:val="0"/>
        <w:autoSpaceDE w:val="0"/>
        <w:autoSpaceDN w:val="0"/>
        <w:adjustRightInd w:val="0"/>
        <w:spacing w:after="0" w:line="240" w:lineRule="auto"/>
        <w:jc w:val="both"/>
        <w:textAlignment w:val="baseline"/>
        <w:rPr>
          <w:rFonts w:ascii="gobCL" w:eastAsia="Times New Roman" w:hAnsi="gobCL" w:cs="Arial"/>
          <w:b/>
          <w:color w:val="1F497D" w:themeColor="text2"/>
          <w:lang w:val="es-ES_tradnl" w:eastAsia="es-ES"/>
        </w:rPr>
      </w:pPr>
    </w:p>
    <w:p w:rsidR="009A6983" w:rsidRPr="00F45370" w:rsidRDefault="009A6983"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 xml:space="preserve">Todo ello </w:t>
      </w:r>
      <w:r w:rsidR="00177862">
        <w:rPr>
          <w:rFonts w:ascii="gobCL" w:eastAsia="Times New Roman" w:hAnsi="gobCL" w:cs="Arial"/>
          <w:b/>
          <w:color w:val="1F497D" w:themeColor="text2"/>
          <w:lang w:val="es-ES_tradnl" w:eastAsia="es-ES"/>
        </w:rPr>
        <w:t xml:space="preserve">es reproducción del artículo 9 </w:t>
      </w:r>
      <w:r w:rsidRPr="00F45370">
        <w:rPr>
          <w:rFonts w:ascii="gobCL" w:eastAsia="Times New Roman" w:hAnsi="gobCL" w:cs="Arial"/>
          <w:b/>
          <w:color w:val="1F497D" w:themeColor="text2"/>
          <w:lang w:val="es-ES_tradnl" w:eastAsia="es-ES"/>
        </w:rPr>
        <w:t>del D.S. N° 103 de 2015,</w:t>
      </w:r>
      <w:r w:rsidR="007F504A" w:rsidRPr="00F45370">
        <w:rPr>
          <w:rFonts w:ascii="gobCL" w:eastAsia="Times New Roman" w:hAnsi="gobCL" w:cs="Arial"/>
          <w:b/>
          <w:color w:val="1F497D" w:themeColor="text2"/>
          <w:lang w:val="es-ES_tradnl" w:eastAsia="es-ES"/>
        </w:rPr>
        <w:t xml:space="preserve"> del Ministerio de Economía, Fomento y Turismo,</w:t>
      </w:r>
      <w:r w:rsidRPr="00F45370">
        <w:rPr>
          <w:rFonts w:ascii="gobCL" w:eastAsia="Times New Roman" w:hAnsi="gobCL" w:cs="Arial"/>
          <w:b/>
          <w:color w:val="1F497D" w:themeColor="text2"/>
          <w:lang w:val="es-ES_tradnl" w:eastAsia="es-ES"/>
        </w:rPr>
        <w:t xml:space="preserve"> que aprobó el Reglamento de Subasta de Licencias Transables de Pesca Clase B, en dicho artículo </w:t>
      </w:r>
      <w:r w:rsidR="007F504A" w:rsidRPr="00F45370">
        <w:rPr>
          <w:rFonts w:ascii="gobCL" w:eastAsia="Times New Roman" w:hAnsi="gobCL" w:cs="Arial"/>
          <w:b/>
          <w:color w:val="1F497D" w:themeColor="text2"/>
          <w:lang w:val="es-ES_tradnl" w:eastAsia="es-ES"/>
        </w:rPr>
        <w:t>NO SE PERMITEN LAS</w:t>
      </w:r>
      <w:r w:rsidRPr="00F45370">
        <w:rPr>
          <w:rFonts w:ascii="gobCL" w:eastAsia="Times New Roman" w:hAnsi="gobCL" w:cs="Arial"/>
          <w:b/>
          <w:color w:val="1F497D" w:themeColor="text2"/>
          <w:lang w:val="es-ES_tradnl" w:eastAsia="es-ES"/>
        </w:rPr>
        <w:t xml:space="preserve"> GARANTÍAS EN DINERO EFECTIVO.</w:t>
      </w:r>
    </w:p>
    <w:p w:rsidR="009A6983" w:rsidRPr="00F45370" w:rsidRDefault="009A6983" w:rsidP="00F45370">
      <w:pPr>
        <w:overflowPunct w:val="0"/>
        <w:autoSpaceDE w:val="0"/>
        <w:autoSpaceDN w:val="0"/>
        <w:adjustRightInd w:val="0"/>
        <w:spacing w:after="0" w:line="240" w:lineRule="auto"/>
        <w:contextualSpacing/>
        <w:jc w:val="both"/>
        <w:textAlignment w:val="baseline"/>
        <w:rPr>
          <w:rFonts w:ascii="gobCL" w:eastAsia="Times New Roman" w:hAnsi="gobCL" w:cs="Arial"/>
          <w:b/>
          <w:color w:val="1F497D" w:themeColor="text2"/>
          <w:lang w:val="es-ES_tradnl" w:eastAsia="es-ES"/>
        </w:rPr>
      </w:pPr>
    </w:p>
    <w:p w:rsidR="009A6983" w:rsidRPr="00F45370" w:rsidRDefault="009A6983" w:rsidP="00F45370">
      <w:pPr>
        <w:spacing w:after="0" w:line="240" w:lineRule="auto"/>
        <w:ind w:left="708"/>
        <w:jc w:val="both"/>
        <w:rPr>
          <w:rFonts w:ascii="gobCL" w:hAnsi="gobCL" w:cs="Arial"/>
          <w:b/>
          <w:color w:val="1F497D" w:themeColor="text2"/>
          <w:lang w:val="es-ES_tradnl" w:eastAsia="es-CL"/>
        </w:rPr>
      </w:pPr>
      <w:r w:rsidRPr="00F45370">
        <w:rPr>
          <w:rFonts w:ascii="gobCL" w:hAnsi="gobCL" w:cs="Arial"/>
          <w:b/>
          <w:color w:val="1F497D" w:themeColor="text2"/>
          <w:lang w:val="es-ES_tradnl" w:eastAsia="es-CL"/>
        </w:rPr>
        <w:t>Los datos completos del beneficiario para emitir las respectivas garantías, son los siguientes:</w:t>
      </w:r>
    </w:p>
    <w:p w:rsidR="009A6983" w:rsidRPr="00F45370" w:rsidRDefault="009A6983" w:rsidP="00F45370">
      <w:pPr>
        <w:shd w:val="clear" w:color="auto" w:fill="FFFFFF"/>
        <w:spacing w:before="100" w:beforeAutospacing="1" w:after="100" w:afterAutospacing="1" w:line="240" w:lineRule="auto"/>
        <w:ind w:firstLine="708"/>
        <w:jc w:val="both"/>
        <w:rPr>
          <w:rFonts w:ascii="gobCL" w:hAnsi="gobCL" w:cs="Times New Roman"/>
          <w:b/>
          <w:color w:val="1F497D" w:themeColor="text2"/>
          <w:lang w:eastAsia="es-CL"/>
        </w:rPr>
      </w:pPr>
      <w:r w:rsidRPr="00F45370">
        <w:rPr>
          <w:rFonts w:ascii="gobCL" w:hAnsi="gobCL" w:cs="Times New Roman"/>
          <w:b/>
          <w:color w:val="1F497D" w:themeColor="text2"/>
          <w:lang w:eastAsia="es-CL"/>
        </w:rPr>
        <w:t>Subsecretaría de Pesca y Acuicultura</w:t>
      </w:r>
    </w:p>
    <w:p w:rsidR="009A6983" w:rsidRPr="00F45370" w:rsidRDefault="009A6983" w:rsidP="00F45370">
      <w:pPr>
        <w:shd w:val="clear" w:color="auto" w:fill="FFFFFF"/>
        <w:spacing w:before="100" w:beforeAutospacing="1" w:after="100" w:afterAutospacing="1" w:line="240" w:lineRule="auto"/>
        <w:ind w:firstLine="708"/>
        <w:jc w:val="both"/>
        <w:rPr>
          <w:rFonts w:ascii="gobCL" w:hAnsi="gobCL" w:cs="Times New Roman"/>
          <w:b/>
          <w:color w:val="1F497D" w:themeColor="text2"/>
          <w:lang w:eastAsia="es-CL"/>
        </w:rPr>
      </w:pPr>
      <w:r w:rsidRPr="00F45370">
        <w:rPr>
          <w:rFonts w:ascii="gobCL" w:hAnsi="gobCL" w:cs="Times New Roman"/>
          <w:b/>
          <w:color w:val="1F497D" w:themeColor="text2"/>
          <w:lang w:eastAsia="es-CL"/>
        </w:rPr>
        <w:t>Bellavista 168, Piso 16. Valparaíso</w:t>
      </w:r>
    </w:p>
    <w:p w:rsidR="009A6983" w:rsidRPr="00F45370" w:rsidRDefault="009A6983" w:rsidP="00F45370">
      <w:pPr>
        <w:shd w:val="clear" w:color="auto" w:fill="FFFFFF"/>
        <w:spacing w:before="100" w:beforeAutospacing="1" w:after="100" w:afterAutospacing="1" w:line="240" w:lineRule="auto"/>
        <w:ind w:firstLine="708"/>
        <w:jc w:val="both"/>
        <w:rPr>
          <w:rFonts w:ascii="gobCL" w:hAnsi="gobCL" w:cs="Times New Roman"/>
          <w:b/>
          <w:color w:val="1F497D" w:themeColor="text2"/>
          <w:lang w:eastAsia="es-CL"/>
        </w:rPr>
      </w:pPr>
      <w:r w:rsidRPr="00F45370">
        <w:rPr>
          <w:rFonts w:ascii="gobCL" w:hAnsi="gobCL" w:cs="Times New Roman"/>
          <w:b/>
          <w:color w:val="1F497D" w:themeColor="text2"/>
          <w:lang w:eastAsia="es-CL"/>
        </w:rPr>
        <w:t>RUT. 60.719.000-3</w:t>
      </w:r>
    </w:p>
    <w:p w:rsidR="001C637A" w:rsidRPr="00F45370" w:rsidRDefault="008D68D0" w:rsidP="00F45370">
      <w:pPr>
        <w:pStyle w:val="Prrafodelista"/>
        <w:numPr>
          <w:ilvl w:val="0"/>
          <w:numId w:val="6"/>
        </w:numPr>
        <w:spacing w:after="240" w:line="240" w:lineRule="auto"/>
        <w:jc w:val="both"/>
        <w:rPr>
          <w:rFonts w:ascii="gobCL" w:eastAsia="Times New Roman" w:hAnsi="gobCL"/>
        </w:rPr>
      </w:pPr>
      <w:r w:rsidRPr="00F45370">
        <w:rPr>
          <w:rFonts w:ascii="gobCL" w:eastAsia="Times New Roman" w:hAnsi="gobCL"/>
        </w:rPr>
        <w:t>Respecto</w:t>
      </w:r>
      <w:r w:rsidR="00A4725E" w:rsidRPr="00F45370">
        <w:rPr>
          <w:rFonts w:ascii="gobCL" w:eastAsia="Times New Roman" w:hAnsi="gobCL"/>
        </w:rPr>
        <w:t xml:space="preserve"> al identificador del sobre </w:t>
      </w:r>
      <w:r w:rsidR="007D7DAF" w:rsidRPr="00F45370">
        <w:rPr>
          <w:rFonts w:ascii="gobCL" w:eastAsia="Times New Roman" w:hAnsi="gobCL"/>
        </w:rPr>
        <w:t>número</w:t>
      </w:r>
      <w:r w:rsidR="00A4725E" w:rsidRPr="00F45370">
        <w:rPr>
          <w:rFonts w:ascii="gobCL" w:eastAsia="Times New Roman" w:hAnsi="gobCL"/>
        </w:rPr>
        <w:t xml:space="preserve"> 2 de la respectiva subasta, en la cual hace referencia a "nombre oferente; Recurso" "Área" y "</w:t>
      </w:r>
      <w:r w:rsidRPr="00F45370">
        <w:rPr>
          <w:rFonts w:ascii="gobCL" w:eastAsia="Times New Roman" w:hAnsi="gobCL"/>
        </w:rPr>
        <w:t>Nro.</w:t>
      </w:r>
      <w:r w:rsidR="00A4725E" w:rsidRPr="00F45370">
        <w:rPr>
          <w:rFonts w:ascii="gobCL" w:eastAsia="Times New Roman" w:hAnsi="gobCL"/>
        </w:rPr>
        <w:t xml:space="preserve"> Lote...."</w:t>
      </w:r>
      <w:r w:rsidR="00A4725E" w:rsidRPr="00F45370">
        <w:rPr>
          <w:rFonts w:ascii="Courier New" w:eastAsia="Times New Roman" w:hAnsi="Courier New" w:cs="Courier New"/>
        </w:rPr>
        <w:t> </w:t>
      </w:r>
      <w:r w:rsidR="00A4725E" w:rsidRPr="00F45370">
        <w:rPr>
          <w:rFonts w:ascii="gobCL" w:eastAsia="Times New Roman" w:hAnsi="gobCL"/>
        </w:rPr>
        <w:t xml:space="preserve"> Dicho </w:t>
      </w:r>
      <w:r w:rsidR="001C637A" w:rsidRPr="00F45370">
        <w:rPr>
          <w:rFonts w:ascii="gobCL" w:eastAsia="Times New Roman" w:hAnsi="gobCL"/>
        </w:rPr>
        <w:t>identificador</w:t>
      </w:r>
      <w:r w:rsidR="00A4725E" w:rsidRPr="00F45370">
        <w:rPr>
          <w:rFonts w:ascii="gobCL" w:eastAsia="Times New Roman" w:hAnsi="gobCL"/>
        </w:rPr>
        <w:t xml:space="preserve"> </w:t>
      </w:r>
      <w:r w:rsidR="00A4725E" w:rsidRPr="00F45370">
        <w:rPr>
          <w:rFonts w:ascii="gobCL" w:eastAsia="Times New Roman" w:hAnsi="gobCL" w:cs="gobCL"/>
        </w:rPr>
        <w:t>Á</w:t>
      </w:r>
      <w:r w:rsidR="00A4725E" w:rsidRPr="00F45370">
        <w:rPr>
          <w:rFonts w:ascii="gobCL" w:eastAsia="Times New Roman" w:hAnsi="gobCL"/>
        </w:rPr>
        <w:t xml:space="preserve">REA, </w:t>
      </w:r>
      <w:r w:rsidR="00A4725E" w:rsidRPr="00F45370">
        <w:rPr>
          <w:rFonts w:ascii="gobCL" w:eastAsia="Times New Roman" w:hAnsi="gobCL" w:cs="gobCL"/>
        </w:rPr>
        <w:t>¿</w:t>
      </w:r>
      <w:r w:rsidR="00A4725E" w:rsidRPr="00F45370">
        <w:rPr>
          <w:rFonts w:ascii="gobCL" w:eastAsia="Times New Roman" w:hAnsi="gobCL"/>
        </w:rPr>
        <w:t xml:space="preserve">a </w:t>
      </w:r>
      <w:r w:rsidR="009A6983" w:rsidRPr="00F45370">
        <w:rPr>
          <w:rFonts w:ascii="gobCL" w:eastAsia="Times New Roman" w:hAnsi="gobCL"/>
        </w:rPr>
        <w:t>qué</w:t>
      </w:r>
      <w:r w:rsidR="00A4725E" w:rsidRPr="00F45370">
        <w:rPr>
          <w:rFonts w:ascii="gobCL" w:eastAsia="Times New Roman" w:hAnsi="gobCL"/>
        </w:rPr>
        <w:t xml:space="preserve"> hace referencia?</w:t>
      </w:r>
    </w:p>
    <w:p w:rsidR="001C637A" w:rsidRPr="00F45370" w:rsidRDefault="001C637A" w:rsidP="00F45370">
      <w:pPr>
        <w:spacing w:after="240" w:line="240" w:lineRule="auto"/>
        <w:ind w:left="360" w:firstLine="348"/>
        <w:jc w:val="both"/>
        <w:rPr>
          <w:rFonts w:ascii="gobCL" w:eastAsia="Times New Roman" w:hAnsi="gobCL"/>
          <w:b/>
          <w:color w:val="1F497D" w:themeColor="text2"/>
        </w:rPr>
      </w:pPr>
      <w:r w:rsidRPr="00F45370">
        <w:rPr>
          <w:rFonts w:ascii="gobCL" w:eastAsia="Times New Roman" w:hAnsi="gobCL"/>
          <w:b/>
          <w:color w:val="1F497D" w:themeColor="text2"/>
        </w:rPr>
        <w:t>El área indica la Unidad de Pesquería respectiva a que se postula:</w:t>
      </w:r>
    </w:p>
    <w:p w:rsidR="001C637A" w:rsidRPr="00F45370" w:rsidRDefault="001C637A" w:rsidP="00F45370">
      <w:pPr>
        <w:pStyle w:val="Prrafodelista"/>
        <w:numPr>
          <w:ilvl w:val="0"/>
          <w:numId w:val="4"/>
        </w:numPr>
        <w:overflowPunct w:val="0"/>
        <w:autoSpaceDE w:val="0"/>
        <w:autoSpaceDN w:val="0"/>
        <w:adjustRightInd w:val="0"/>
        <w:spacing w:after="0" w:line="240" w:lineRule="auto"/>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Unidad de Pesquería Jurel III-IV Regiones.</w:t>
      </w:r>
    </w:p>
    <w:p w:rsidR="001C637A" w:rsidRPr="00F45370" w:rsidRDefault="001C637A" w:rsidP="00F45370">
      <w:pPr>
        <w:pStyle w:val="Prrafodelista"/>
        <w:numPr>
          <w:ilvl w:val="0"/>
          <w:numId w:val="4"/>
        </w:numPr>
        <w:overflowPunct w:val="0"/>
        <w:autoSpaceDE w:val="0"/>
        <w:autoSpaceDN w:val="0"/>
        <w:adjustRightInd w:val="0"/>
        <w:spacing w:after="0" w:line="240" w:lineRule="auto"/>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Unidad de Pesquería Jurel V-IX Regiones.</w:t>
      </w:r>
    </w:p>
    <w:p w:rsidR="001C637A" w:rsidRPr="00F45370" w:rsidRDefault="001C637A" w:rsidP="00F45370">
      <w:pPr>
        <w:pStyle w:val="Prrafodelista"/>
        <w:numPr>
          <w:ilvl w:val="0"/>
          <w:numId w:val="4"/>
        </w:numPr>
        <w:overflowPunct w:val="0"/>
        <w:autoSpaceDE w:val="0"/>
        <w:autoSpaceDN w:val="0"/>
        <w:adjustRightInd w:val="0"/>
        <w:spacing w:after="0" w:line="240" w:lineRule="auto"/>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Unidad de Pesquería Jurel XV-II Regiones.</w:t>
      </w:r>
    </w:p>
    <w:p w:rsidR="001C637A" w:rsidRPr="00F45370" w:rsidRDefault="001C637A" w:rsidP="00F45370">
      <w:pPr>
        <w:pStyle w:val="Prrafodelista"/>
        <w:numPr>
          <w:ilvl w:val="0"/>
          <w:numId w:val="4"/>
        </w:numPr>
        <w:overflowPunct w:val="0"/>
        <w:autoSpaceDE w:val="0"/>
        <w:autoSpaceDN w:val="0"/>
        <w:adjustRightInd w:val="0"/>
        <w:spacing w:after="0" w:line="240" w:lineRule="auto"/>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Unidad de Pesquería Jurel XIV-X Regiones.</w:t>
      </w:r>
    </w:p>
    <w:p w:rsidR="001C637A" w:rsidRPr="00F45370" w:rsidRDefault="001C637A" w:rsidP="00F45370">
      <w:pPr>
        <w:pStyle w:val="Prrafodelista"/>
        <w:numPr>
          <w:ilvl w:val="0"/>
          <w:numId w:val="4"/>
        </w:numPr>
        <w:overflowPunct w:val="0"/>
        <w:autoSpaceDE w:val="0"/>
        <w:autoSpaceDN w:val="0"/>
        <w:adjustRightInd w:val="0"/>
        <w:spacing w:after="0" w:line="240" w:lineRule="auto"/>
        <w:jc w:val="both"/>
        <w:textAlignment w:val="baseline"/>
        <w:rPr>
          <w:rFonts w:ascii="gobCL" w:eastAsia="Times New Roman" w:hAnsi="gobCL" w:cs="Arial"/>
          <w:b/>
          <w:color w:val="1F497D" w:themeColor="text2"/>
          <w:lang w:val="es-ES_tradnl" w:eastAsia="es-ES"/>
        </w:rPr>
      </w:pPr>
      <w:r w:rsidRPr="00F45370">
        <w:rPr>
          <w:rFonts w:ascii="gobCL" w:eastAsia="Times New Roman" w:hAnsi="gobCL" w:cs="Arial"/>
          <w:b/>
          <w:color w:val="1F497D" w:themeColor="text2"/>
          <w:lang w:val="es-ES_tradnl" w:eastAsia="es-ES"/>
        </w:rPr>
        <w:t>Unidad de Pesquería Anchoveta III-IV Regiones</w:t>
      </w:r>
    </w:p>
    <w:p w:rsidR="001C637A" w:rsidRPr="00F45370" w:rsidRDefault="001C637A" w:rsidP="00F45370">
      <w:pPr>
        <w:overflowPunct w:val="0"/>
        <w:autoSpaceDE w:val="0"/>
        <w:autoSpaceDN w:val="0"/>
        <w:adjustRightInd w:val="0"/>
        <w:spacing w:after="0" w:line="240" w:lineRule="auto"/>
        <w:jc w:val="both"/>
        <w:textAlignment w:val="baseline"/>
        <w:rPr>
          <w:rFonts w:ascii="gobCL" w:eastAsia="Times New Roman" w:hAnsi="gobCL" w:cs="Arial"/>
          <w:b/>
          <w:color w:val="1F497D" w:themeColor="text2"/>
          <w:lang w:val="es-ES_tradnl" w:eastAsia="es-ES"/>
        </w:rPr>
      </w:pPr>
    </w:p>
    <w:p w:rsidR="001C637A" w:rsidRPr="00F45370" w:rsidRDefault="001C637A" w:rsidP="00F45370">
      <w:pPr>
        <w:overflowPunct w:val="0"/>
        <w:autoSpaceDE w:val="0"/>
        <w:autoSpaceDN w:val="0"/>
        <w:adjustRightInd w:val="0"/>
        <w:spacing w:after="0" w:line="240" w:lineRule="auto"/>
        <w:ind w:firstLine="708"/>
        <w:jc w:val="both"/>
        <w:textAlignment w:val="baseline"/>
        <w:rPr>
          <w:rFonts w:ascii="gobCL" w:eastAsia="Times New Roman" w:hAnsi="gobCL" w:cs="Arial"/>
          <w:lang w:val="es-ES_tradnl" w:eastAsia="es-ES"/>
        </w:rPr>
      </w:pPr>
      <w:r w:rsidRPr="00F45370">
        <w:rPr>
          <w:rFonts w:ascii="gobCL" w:eastAsia="Times New Roman" w:hAnsi="gobCL" w:cs="Arial"/>
          <w:b/>
          <w:color w:val="1F497D" w:themeColor="text2"/>
          <w:lang w:val="es-ES_tradnl" w:eastAsia="es-ES"/>
        </w:rPr>
        <w:t>Los montos de garantía están detallados en cada una de las bases respectivas</w:t>
      </w:r>
      <w:r w:rsidRPr="00F45370">
        <w:rPr>
          <w:rFonts w:ascii="gobCL" w:eastAsia="Times New Roman" w:hAnsi="gobCL" w:cs="Arial"/>
          <w:lang w:val="es-ES_tradnl" w:eastAsia="es-ES"/>
        </w:rPr>
        <w:t>.</w:t>
      </w:r>
    </w:p>
    <w:p w:rsidR="009A6983" w:rsidRDefault="009A6983" w:rsidP="00F45370">
      <w:pPr>
        <w:pStyle w:val="Textosinformato"/>
        <w:jc w:val="both"/>
        <w:rPr>
          <w:rFonts w:ascii="gobCL" w:hAnsi="gobCL"/>
          <w:szCs w:val="22"/>
        </w:rPr>
      </w:pPr>
    </w:p>
    <w:p w:rsidR="00177862" w:rsidRDefault="00177862" w:rsidP="00F45370">
      <w:pPr>
        <w:pStyle w:val="Textosinformato"/>
        <w:jc w:val="both"/>
        <w:rPr>
          <w:rFonts w:ascii="gobCL" w:hAnsi="gobCL"/>
          <w:szCs w:val="22"/>
        </w:rPr>
      </w:pPr>
    </w:p>
    <w:p w:rsidR="00177862" w:rsidRDefault="00177862" w:rsidP="00F45370">
      <w:pPr>
        <w:pStyle w:val="Textosinformato"/>
        <w:jc w:val="both"/>
        <w:rPr>
          <w:rFonts w:ascii="gobCL" w:hAnsi="gobCL"/>
          <w:szCs w:val="22"/>
        </w:rPr>
      </w:pPr>
    </w:p>
    <w:p w:rsidR="00177862" w:rsidRDefault="00177862" w:rsidP="00F45370">
      <w:pPr>
        <w:pStyle w:val="Textosinformato"/>
        <w:jc w:val="both"/>
        <w:rPr>
          <w:rFonts w:ascii="gobCL" w:hAnsi="gobCL"/>
          <w:szCs w:val="22"/>
        </w:rPr>
      </w:pPr>
    </w:p>
    <w:p w:rsidR="00177862" w:rsidRDefault="00177862" w:rsidP="00F45370">
      <w:pPr>
        <w:pStyle w:val="Textosinformato"/>
        <w:jc w:val="both"/>
        <w:rPr>
          <w:rFonts w:ascii="gobCL" w:hAnsi="gobCL"/>
          <w:szCs w:val="22"/>
        </w:rPr>
      </w:pPr>
    </w:p>
    <w:p w:rsidR="00177862" w:rsidRDefault="00177862" w:rsidP="00F45370">
      <w:pPr>
        <w:pStyle w:val="Textosinformato"/>
        <w:jc w:val="both"/>
        <w:rPr>
          <w:rFonts w:ascii="gobCL" w:hAnsi="gobCL"/>
          <w:szCs w:val="22"/>
        </w:rPr>
      </w:pPr>
    </w:p>
    <w:p w:rsidR="00177862" w:rsidRDefault="00177862" w:rsidP="00F45370">
      <w:pPr>
        <w:pStyle w:val="Textosinformato"/>
        <w:jc w:val="both"/>
        <w:rPr>
          <w:rFonts w:ascii="gobCL" w:hAnsi="gobCL"/>
          <w:szCs w:val="22"/>
        </w:rPr>
      </w:pPr>
    </w:p>
    <w:p w:rsidR="00177862" w:rsidRPr="00F45370" w:rsidRDefault="00177862" w:rsidP="00F45370">
      <w:pPr>
        <w:pStyle w:val="Textosinformato"/>
        <w:jc w:val="both"/>
        <w:rPr>
          <w:rFonts w:ascii="gobCL" w:hAnsi="gobCL"/>
          <w:szCs w:val="22"/>
        </w:rPr>
      </w:pPr>
    </w:p>
    <w:p w:rsidR="00177862" w:rsidRDefault="00177862" w:rsidP="00177862">
      <w:pPr>
        <w:pStyle w:val="Textosinformato"/>
        <w:ind w:left="720"/>
        <w:jc w:val="both"/>
        <w:rPr>
          <w:rFonts w:ascii="gobCL" w:hAnsi="gobCL"/>
          <w:szCs w:val="22"/>
        </w:rPr>
      </w:pPr>
    </w:p>
    <w:p w:rsidR="00A4725E" w:rsidRPr="00F45370" w:rsidRDefault="00A4725E" w:rsidP="00F45370">
      <w:pPr>
        <w:pStyle w:val="Textosinformato"/>
        <w:numPr>
          <w:ilvl w:val="0"/>
          <w:numId w:val="6"/>
        </w:numPr>
        <w:jc w:val="both"/>
        <w:rPr>
          <w:rFonts w:ascii="gobCL" w:hAnsi="gobCL"/>
          <w:szCs w:val="22"/>
        </w:rPr>
      </w:pPr>
      <w:r w:rsidRPr="00F45370">
        <w:rPr>
          <w:rFonts w:ascii="gobCL" w:hAnsi="gobCL"/>
          <w:szCs w:val="22"/>
        </w:rPr>
        <w:t xml:space="preserve">Si nos adjudicamos un lote de una unidad de pesquería </w:t>
      </w:r>
      <w:r w:rsidR="009A6983" w:rsidRPr="00F45370">
        <w:rPr>
          <w:rFonts w:ascii="gobCL" w:hAnsi="gobCL"/>
          <w:szCs w:val="22"/>
        </w:rPr>
        <w:t>(por</w:t>
      </w:r>
      <w:r w:rsidRPr="00F45370">
        <w:rPr>
          <w:rFonts w:ascii="gobCL" w:hAnsi="gobCL"/>
          <w:szCs w:val="22"/>
        </w:rPr>
        <w:t xml:space="preserve"> ejemplo III y IV región</w:t>
      </w:r>
      <w:r w:rsidR="009A6983" w:rsidRPr="00F45370">
        <w:rPr>
          <w:rFonts w:ascii="gobCL" w:hAnsi="gobCL"/>
          <w:szCs w:val="22"/>
        </w:rPr>
        <w:t>),</w:t>
      </w:r>
      <w:r w:rsidRPr="00F45370">
        <w:rPr>
          <w:rFonts w:ascii="gobCL" w:hAnsi="gobCL"/>
          <w:szCs w:val="22"/>
        </w:rPr>
        <w:t xml:space="preserve"> lo podemos pescar en otra unidad </w:t>
      </w:r>
      <w:r w:rsidR="009A6983" w:rsidRPr="00F45370">
        <w:rPr>
          <w:rFonts w:ascii="gobCL" w:hAnsi="gobCL"/>
          <w:szCs w:val="22"/>
        </w:rPr>
        <w:t>(por</w:t>
      </w:r>
      <w:r w:rsidRPr="00F45370">
        <w:rPr>
          <w:rFonts w:ascii="gobCL" w:hAnsi="gobCL"/>
          <w:szCs w:val="22"/>
        </w:rPr>
        <w:t xml:space="preserve"> ejemplo XIV - X </w:t>
      </w:r>
      <w:r w:rsidR="009A6983" w:rsidRPr="00F45370">
        <w:rPr>
          <w:rFonts w:ascii="gobCL" w:hAnsi="gobCL"/>
          <w:szCs w:val="22"/>
        </w:rPr>
        <w:t>región</w:t>
      </w:r>
      <w:proofErr w:type="gramStart"/>
      <w:r w:rsidR="00177862" w:rsidRPr="00F45370">
        <w:rPr>
          <w:rFonts w:ascii="gobCL" w:hAnsi="gobCL"/>
          <w:szCs w:val="22"/>
        </w:rPr>
        <w:t>)</w:t>
      </w:r>
      <w:r w:rsidR="00177862">
        <w:rPr>
          <w:rFonts w:ascii="gobCL" w:hAnsi="gobCL"/>
          <w:szCs w:val="22"/>
        </w:rPr>
        <w:t xml:space="preserve"> ?</w:t>
      </w:r>
      <w:proofErr w:type="gramEnd"/>
    </w:p>
    <w:p w:rsidR="009A6983" w:rsidRPr="00F45370" w:rsidRDefault="009A6983" w:rsidP="00F45370">
      <w:pPr>
        <w:pStyle w:val="Textosinformato"/>
        <w:jc w:val="both"/>
        <w:rPr>
          <w:rFonts w:ascii="gobCL" w:hAnsi="gobCL"/>
          <w:szCs w:val="22"/>
        </w:rPr>
      </w:pPr>
    </w:p>
    <w:p w:rsidR="009A6983" w:rsidRPr="00F45370" w:rsidRDefault="009A6983" w:rsidP="00F45370">
      <w:pPr>
        <w:pStyle w:val="Textosinformato"/>
        <w:ind w:left="708"/>
        <w:jc w:val="both"/>
        <w:rPr>
          <w:rFonts w:ascii="gobCL" w:hAnsi="gobCL"/>
          <w:b/>
          <w:color w:val="1F497D" w:themeColor="text2"/>
          <w:szCs w:val="22"/>
        </w:rPr>
      </w:pPr>
      <w:r w:rsidRPr="00F45370">
        <w:rPr>
          <w:rFonts w:ascii="gobCL" w:hAnsi="gobCL"/>
          <w:b/>
          <w:color w:val="1F497D" w:themeColor="text2"/>
          <w:szCs w:val="22"/>
        </w:rPr>
        <w:t>En el caso del jurel estamos en presencia de una unidad de pesquería que comprende un mismo stock o unidad poblacional, por lo que se aplica lo dispuesto en el inciso 3° del artículo 3 del DS. N° 163 de 2013, del Ministerio de Economía, Fomento y Turismo, que aprobó el Reglamento del Registro</w:t>
      </w:r>
      <w:r w:rsidR="007F504A" w:rsidRPr="00F45370">
        <w:rPr>
          <w:rFonts w:ascii="gobCL" w:hAnsi="gobCL"/>
          <w:b/>
          <w:color w:val="1F497D" w:themeColor="text2"/>
          <w:szCs w:val="22"/>
        </w:rPr>
        <w:t xml:space="preserve"> Pú</w:t>
      </w:r>
      <w:r w:rsidRPr="00F45370">
        <w:rPr>
          <w:rFonts w:ascii="gobCL" w:hAnsi="gobCL"/>
          <w:b/>
          <w:color w:val="1F497D" w:themeColor="text2"/>
          <w:szCs w:val="22"/>
        </w:rPr>
        <w:t>blico de Licencias Transables de Pesca.</w:t>
      </w:r>
    </w:p>
    <w:p w:rsidR="00316B7B" w:rsidRPr="00F45370" w:rsidRDefault="00316B7B" w:rsidP="00F45370">
      <w:pPr>
        <w:pStyle w:val="Textosinformato"/>
        <w:jc w:val="both"/>
        <w:rPr>
          <w:rFonts w:ascii="gobCL" w:hAnsi="gobCL"/>
          <w:b/>
          <w:color w:val="1F497D" w:themeColor="text2"/>
          <w:szCs w:val="22"/>
        </w:rPr>
      </w:pPr>
    </w:p>
    <w:p w:rsidR="00316B7B" w:rsidRPr="00F45370" w:rsidRDefault="00316B7B" w:rsidP="00F45370">
      <w:pPr>
        <w:pStyle w:val="Textosinformato"/>
        <w:ind w:left="708"/>
        <w:jc w:val="both"/>
        <w:rPr>
          <w:rFonts w:ascii="gobCL" w:hAnsi="gobCL"/>
          <w:b/>
          <w:color w:val="1F497D" w:themeColor="text2"/>
          <w:szCs w:val="22"/>
        </w:rPr>
      </w:pPr>
      <w:r w:rsidRPr="00F45370">
        <w:rPr>
          <w:rFonts w:ascii="gobCL" w:hAnsi="gobCL"/>
          <w:b/>
          <w:color w:val="1F497D" w:themeColor="text2"/>
          <w:szCs w:val="22"/>
        </w:rPr>
        <w:t>Dicha norma señala</w:t>
      </w:r>
      <w:r w:rsidR="007F504A" w:rsidRPr="00F45370">
        <w:rPr>
          <w:rFonts w:ascii="gobCL" w:hAnsi="gobCL"/>
          <w:b/>
          <w:color w:val="1F497D" w:themeColor="text2"/>
          <w:szCs w:val="22"/>
        </w:rPr>
        <w:t>,</w:t>
      </w:r>
      <w:r w:rsidRPr="00F45370">
        <w:rPr>
          <w:rFonts w:ascii="gobCL" w:hAnsi="gobCL"/>
          <w:b/>
          <w:color w:val="1F497D" w:themeColor="text2"/>
          <w:szCs w:val="22"/>
        </w:rPr>
        <w:t xml:space="preserve"> que se podrán efectuar arriendo o cualquier otro acto no traslaticio de dominio respeto</w:t>
      </w:r>
      <w:r w:rsidR="007F504A" w:rsidRPr="00F45370">
        <w:rPr>
          <w:rFonts w:ascii="gobCL" w:hAnsi="gobCL"/>
          <w:b/>
          <w:color w:val="1F497D" w:themeColor="text2"/>
          <w:szCs w:val="22"/>
        </w:rPr>
        <w:t xml:space="preserve"> de la LTP</w:t>
      </w:r>
      <w:r w:rsidRPr="00F45370">
        <w:rPr>
          <w:rFonts w:ascii="gobCL" w:hAnsi="gobCL"/>
          <w:b/>
          <w:color w:val="1F497D" w:themeColor="text2"/>
          <w:szCs w:val="22"/>
        </w:rPr>
        <w:t xml:space="preserve"> a</w:t>
      </w:r>
      <w:r w:rsidR="007F504A" w:rsidRPr="00F45370">
        <w:rPr>
          <w:rFonts w:ascii="gobCL" w:hAnsi="gobCL"/>
          <w:b/>
          <w:color w:val="1F497D" w:themeColor="text2"/>
          <w:szCs w:val="22"/>
        </w:rPr>
        <w:t xml:space="preserve"> </w:t>
      </w:r>
      <w:r w:rsidRPr="00F45370">
        <w:rPr>
          <w:rFonts w:ascii="gobCL" w:hAnsi="gobCL"/>
          <w:b/>
          <w:color w:val="1F497D" w:themeColor="text2"/>
          <w:szCs w:val="22"/>
        </w:rPr>
        <w:t>un titular de LTP del mismo recurso inscrito en otra unidad de pesquería, quedando este último habilitado para extraer las toneladas que representen las LTP objeto del negocio jurídico en la unidad de pesquería donde tenga su inscripción original, debiendo cumplir con las nomas de conservación y manejo de esta última unidad de pesquería.</w:t>
      </w:r>
    </w:p>
    <w:p w:rsidR="00316B7B" w:rsidRPr="00F45370" w:rsidRDefault="00316B7B" w:rsidP="00F45370">
      <w:pPr>
        <w:pStyle w:val="Textosinformato"/>
        <w:jc w:val="both"/>
        <w:rPr>
          <w:rFonts w:ascii="gobCL" w:hAnsi="gobCL"/>
          <w:b/>
          <w:color w:val="1F497D" w:themeColor="text2"/>
          <w:szCs w:val="22"/>
        </w:rPr>
      </w:pPr>
    </w:p>
    <w:p w:rsidR="00316B7B" w:rsidRPr="00F45370" w:rsidRDefault="00316B7B" w:rsidP="00F45370">
      <w:pPr>
        <w:pStyle w:val="Textosinformato"/>
        <w:ind w:firstLine="708"/>
        <w:jc w:val="both"/>
        <w:rPr>
          <w:rFonts w:ascii="gobCL" w:hAnsi="gobCL"/>
          <w:b/>
          <w:color w:val="1F497D" w:themeColor="text2"/>
          <w:szCs w:val="22"/>
        </w:rPr>
      </w:pPr>
      <w:r w:rsidRPr="00F45370">
        <w:rPr>
          <w:rFonts w:ascii="gobCL" w:hAnsi="gobCL"/>
          <w:b/>
          <w:color w:val="1F497D" w:themeColor="text2"/>
          <w:szCs w:val="22"/>
        </w:rPr>
        <w:t>Por lo tanto solo lo podrá pesca</w:t>
      </w:r>
      <w:r w:rsidR="007F504A" w:rsidRPr="00F45370">
        <w:rPr>
          <w:rFonts w:ascii="gobCL" w:hAnsi="gobCL"/>
          <w:b/>
          <w:color w:val="1F497D" w:themeColor="text2"/>
          <w:szCs w:val="22"/>
        </w:rPr>
        <w:t>r</w:t>
      </w:r>
      <w:r w:rsidRPr="00F45370">
        <w:rPr>
          <w:rFonts w:ascii="gobCL" w:hAnsi="gobCL"/>
          <w:b/>
          <w:color w:val="1F497D" w:themeColor="text2"/>
          <w:szCs w:val="22"/>
        </w:rPr>
        <w:t xml:space="preserve"> en otra unidad de pesquería, </w:t>
      </w:r>
      <w:r w:rsidR="00177862">
        <w:rPr>
          <w:rFonts w:ascii="gobCL" w:hAnsi="gobCL"/>
          <w:b/>
          <w:color w:val="1F497D" w:themeColor="text2"/>
          <w:szCs w:val="22"/>
        </w:rPr>
        <w:t>otro titular de licencia</w:t>
      </w:r>
      <w:r w:rsidRPr="00F45370">
        <w:rPr>
          <w:rFonts w:ascii="gobCL" w:hAnsi="gobCL"/>
          <w:b/>
          <w:color w:val="1F497D" w:themeColor="text2"/>
          <w:szCs w:val="22"/>
        </w:rPr>
        <w:t>.</w:t>
      </w:r>
    </w:p>
    <w:p w:rsidR="007F504A" w:rsidRPr="00F45370" w:rsidRDefault="007F504A" w:rsidP="00F45370">
      <w:pPr>
        <w:pStyle w:val="Textosinformato"/>
        <w:ind w:firstLine="360"/>
        <w:jc w:val="both"/>
        <w:rPr>
          <w:rFonts w:ascii="gobCL" w:hAnsi="gobCL"/>
          <w:b/>
          <w:color w:val="1F497D" w:themeColor="text2"/>
          <w:szCs w:val="22"/>
        </w:rPr>
      </w:pPr>
    </w:p>
    <w:p w:rsidR="00316B7B" w:rsidRPr="00F45370" w:rsidRDefault="008D68D0" w:rsidP="00F45370">
      <w:pPr>
        <w:pStyle w:val="Textosinformato"/>
        <w:ind w:left="708"/>
        <w:jc w:val="both"/>
        <w:rPr>
          <w:rFonts w:ascii="gobCL" w:hAnsi="gobCL"/>
          <w:b/>
          <w:color w:val="1F497D" w:themeColor="text2"/>
          <w:szCs w:val="22"/>
        </w:rPr>
      </w:pPr>
      <w:r w:rsidRPr="00F45370">
        <w:rPr>
          <w:rFonts w:ascii="gobCL" w:hAnsi="gobCL"/>
          <w:b/>
          <w:color w:val="1F497D" w:themeColor="text2"/>
          <w:szCs w:val="22"/>
        </w:rPr>
        <w:t>Se debe tener presente lo dispuesto en el artículo 55 T de la Ley de Pesca y Acuicultura</w:t>
      </w:r>
    </w:p>
    <w:p w:rsidR="009E0369" w:rsidRPr="00F45370" w:rsidRDefault="009E0369" w:rsidP="00F45370">
      <w:pPr>
        <w:spacing w:after="0" w:line="240" w:lineRule="auto"/>
        <w:jc w:val="both"/>
        <w:rPr>
          <w:rFonts w:ascii="gobCL" w:hAnsi="gobCL" w:cs="Arial"/>
          <w:b/>
          <w:color w:val="1F497D" w:themeColor="text2"/>
          <w:lang w:eastAsia="es-CL"/>
        </w:rPr>
      </w:pPr>
    </w:p>
    <w:p w:rsidR="0018150A" w:rsidRPr="00F45370" w:rsidRDefault="0018150A" w:rsidP="00F45370">
      <w:pPr>
        <w:spacing w:after="0" w:line="240" w:lineRule="auto"/>
        <w:ind w:left="708"/>
        <w:jc w:val="both"/>
        <w:rPr>
          <w:rFonts w:ascii="gobCL" w:hAnsi="gobCL" w:cs="Arial"/>
          <w:b/>
          <w:color w:val="1F497D" w:themeColor="text2"/>
          <w:lang w:eastAsia="es-CL"/>
        </w:rPr>
      </w:pPr>
      <w:r w:rsidRPr="00F45370">
        <w:rPr>
          <w:rFonts w:ascii="gobCL" w:hAnsi="gobCL" w:cs="Arial"/>
          <w:b/>
          <w:color w:val="1F497D" w:themeColor="text2"/>
          <w:lang w:eastAsia="es-CL"/>
        </w:rPr>
        <w:t>Que dispone si un titular de licencia transables de pesca ced</w:t>
      </w:r>
      <w:r w:rsidR="00A51CD6">
        <w:rPr>
          <w:rFonts w:ascii="gobCL" w:hAnsi="gobCL" w:cs="Arial"/>
          <w:b/>
          <w:color w:val="1F497D" w:themeColor="text2"/>
          <w:lang w:eastAsia="es-CL"/>
        </w:rPr>
        <w:t>e</w:t>
      </w:r>
      <w:r w:rsidRPr="00F45370">
        <w:rPr>
          <w:rFonts w:ascii="gobCL" w:hAnsi="gobCL" w:cs="Arial"/>
          <w:b/>
          <w:color w:val="1F497D" w:themeColor="text2"/>
          <w:lang w:eastAsia="es-CL"/>
        </w:rPr>
        <w:t xml:space="preserve">, total o </w:t>
      </w:r>
      <w:r w:rsidR="009E0369" w:rsidRPr="00F45370">
        <w:rPr>
          <w:rFonts w:ascii="gobCL" w:hAnsi="gobCL" w:cs="Arial"/>
          <w:b/>
          <w:color w:val="1F497D" w:themeColor="text2"/>
          <w:lang w:eastAsia="es-CL"/>
        </w:rPr>
        <w:t>parcialmente</w:t>
      </w:r>
      <w:r w:rsidRPr="00F45370">
        <w:rPr>
          <w:rFonts w:ascii="gobCL" w:hAnsi="gobCL" w:cs="Arial"/>
          <w:b/>
          <w:color w:val="1F497D" w:themeColor="text2"/>
          <w:lang w:eastAsia="es-CL"/>
        </w:rPr>
        <w:t xml:space="preserve">, las </w:t>
      </w:r>
      <w:r w:rsidR="009E0369" w:rsidRPr="00F45370">
        <w:rPr>
          <w:rFonts w:ascii="gobCL" w:hAnsi="gobCL" w:cs="Arial"/>
          <w:b/>
          <w:color w:val="1F497D" w:themeColor="text2"/>
          <w:lang w:eastAsia="es-CL"/>
        </w:rPr>
        <w:t>toneladas</w:t>
      </w:r>
      <w:r w:rsidRPr="00F45370">
        <w:rPr>
          <w:rFonts w:ascii="gobCL" w:hAnsi="gobCL" w:cs="Arial"/>
          <w:b/>
          <w:color w:val="1F497D" w:themeColor="text2"/>
          <w:lang w:eastAsia="es-CL"/>
        </w:rPr>
        <w:t xml:space="preserve"> que </w:t>
      </w:r>
      <w:r w:rsidR="009E0369" w:rsidRPr="00F45370">
        <w:rPr>
          <w:rFonts w:ascii="gobCL" w:hAnsi="gobCL" w:cs="Arial"/>
          <w:b/>
          <w:color w:val="1F497D" w:themeColor="text2"/>
          <w:lang w:eastAsia="es-CL"/>
        </w:rPr>
        <w:t>represente</w:t>
      </w:r>
      <w:r w:rsidRPr="00F45370">
        <w:rPr>
          <w:rFonts w:ascii="gobCL" w:hAnsi="gobCL" w:cs="Arial"/>
          <w:b/>
          <w:color w:val="1F497D" w:themeColor="text2"/>
          <w:lang w:eastAsia="es-CL"/>
        </w:rPr>
        <w:t xml:space="preserve"> su licencia </w:t>
      </w:r>
      <w:r w:rsidR="009E0369" w:rsidRPr="00F45370">
        <w:rPr>
          <w:rFonts w:ascii="gobCL" w:hAnsi="gobCL" w:cs="Arial"/>
          <w:b/>
          <w:color w:val="1F497D" w:themeColor="text2"/>
          <w:lang w:eastAsia="es-CL"/>
        </w:rPr>
        <w:t>transable</w:t>
      </w:r>
      <w:r w:rsidRPr="00F45370">
        <w:rPr>
          <w:rFonts w:ascii="gobCL" w:hAnsi="gobCL" w:cs="Arial"/>
          <w:b/>
          <w:color w:val="1F497D" w:themeColor="text2"/>
          <w:lang w:eastAsia="es-CL"/>
        </w:rPr>
        <w:t xml:space="preserve"> de pesca, en un año calendario, a uno o </w:t>
      </w:r>
      <w:r w:rsidR="009E0369" w:rsidRPr="00F45370">
        <w:rPr>
          <w:rFonts w:ascii="gobCL" w:hAnsi="gobCL" w:cs="Arial"/>
          <w:b/>
          <w:color w:val="1F497D" w:themeColor="text2"/>
          <w:lang w:eastAsia="es-CL"/>
        </w:rPr>
        <w:t>más</w:t>
      </w:r>
      <w:r w:rsidRPr="00F45370">
        <w:rPr>
          <w:rFonts w:ascii="gobCL" w:hAnsi="gobCL" w:cs="Arial"/>
          <w:b/>
          <w:color w:val="1F497D" w:themeColor="text2"/>
          <w:lang w:eastAsia="es-CL"/>
        </w:rPr>
        <w:t xml:space="preserve"> armadores </w:t>
      </w:r>
      <w:r w:rsidR="009E0369" w:rsidRPr="00F45370">
        <w:rPr>
          <w:rFonts w:ascii="gobCL" w:hAnsi="gobCL" w:cs="Arial"/>
          <w:b/>
          <w:color w:val="1F497D" w:themeColor="text2"/>
          <w:lang w:eastAsia="es-CL"/>
        </w:rPr>
        <w:t>artesanales</w:t>
      </w:r>
      <w:r w:rsidRPr="00F45370">
        <w:rPr>
          <w:rFonts w:ascii="gobCL" w:hAnsi="gobCL" w:cs="Arial"/>
          <w:b/>
          <w:color w:val="1F497D" w:themeColor="text2"/>
          <w:lang w:eastAsia="es-CL"/>
        </w:rPr>
        <w:t xml:space="preserve"> inscritos en la pesquería respectiva, este deberá inscribirse en el registro a que hace referencia el artículo 29 de esta ley y podrá </w:t>
      </w:r>
      <w:r w:rsidR="009E0369" w:rsidRPr="00F45370">
        <w:rPr>
          <w:rFonts w:ascii="gobCL" w:hAnsi="gobCL" w:cs="Arial"/>
          <w:b/>
          <w:color w:val="1F497D" w:themeColor="text2"/>
          <w:lang w:eastAsia="es-CL"/>
        </w:rPr>
        <w:t>extraer</w:t>
      </w:r>
      <w:r w:rsidRPr="00F45370">
        <w:rPr>
          <w:rFonts w:ascii="gobCL" w:hAnsi="gobCL" w:cs="Arial"/>
          <w:b/>
          <w:color w:val="1F497D" w:themeColor="text2"/>
          <w:lang w:eastAsia="es-CL"/>
        </w:rPr>
        <w:t xml:space="preserve"> las tonela</w:t>
      </w:r>
      <w:r w:rsidR="009E0369" w:rsidRPr="00F45370">
        <w:rPr>
          <w:rFonts w:ascii="gobCL" w:hAnsi="gobCL" w:cs="Arial"/>
          <w:b/>
          <w:color w:val="1F497D" w:themeColor="text2"/>
          <w:lang w:eastAsia="es-CL"/>
        </w:rPr>
        <w:t>das</w:t>
      </w:r>
      <w:r w:rsidRPr="00F45370">
        <w:rPr>
          <w:rFonts w:ascii="gobCL" w:hAnsi="gobCL" w:cs="Arial"/>
          <w:b/>
          <w:color w:val="1F497D" w:themeColor="text2"/>
          <w:lang w:eastAsia="es-CL"/>
        </w:rPr>
        <w:t xml:space="preserve"> </w:t>
      </w:r>
      <w:r w:rsidR="009E0369" w:rsidRPr="00F45370">
        <w:rPr>
          <w:rFonts w:ascii="gobCL" w:hAnsi="gobCL" w:cs="Arial"/>
          <w:b/>
          <w:color w:val="1F497D" w:themeColor="text2"/>
          <w:lang w:eastAsia="es-CL"/>
        </w:rPr>
        <w:t>cedidas</w:t>
      </w:r>
      <w:r w:rsidRPr="00F45370">
        <w:rPr>
          <w:rFonts w:ascii="gobCL" w:hAnsi="gobCL" w:cs="Arial"/>
          <w:b/>
          <w:color w:val="1F497D" w:themeColor="text2"/>
          <w:lang w:eastAsia="es-CL"/>
        </w:rPr>
        <w:t xml:space="preserve"> dentro de la región correspondiente a su respectiva inscripción en el Registro Artesanal, dando </w:t>
      </w:r>
      <w:r w:rsidR="005C0306" w:rsidRPr="00F45370">
        <w:rPr>
          <w:rFonts w:ascii="gobCL" w:hAnsi="gobCL" w:cs="Arial"/>
          <w:b/>
          <w:color w:val="1F497D" w:themeColor="text2"/>
          <w:lang w:eastAsia="es-CL"/>
        </w:rPr>
        <w:t>cumplimento</w:t>
      </w:r>
      <w:r w:rsidRPr="00F45370">
        <w:rPr>
          <w:rFonts w:ascii="gobCL" w:hAnsi="gobCL" w:cs="Arial"/>
          <w:b/>
          <w:color w:val="1F497D" w:themeColor="text2"/>
          <w:lang w:eastAsia="es-CL"/>
        </w:rPr>
        <w:t xml:space="preserve"> a la exigencia de </w:t>
      </w:r>
      <w:r w:rsidR="005C0306" w:rsidRPr="00F45370">
        <w:rPr>
          <w:rFonts w:ascii="gobCL" w:hAnsi="gobCL" w:cs="Arial"/>
          <w:b/>
          <w:color w:val="1F497D" w:themeColor="text2"/>
          <w:lang w:eastAsia="es-CL"/>
        </w:rPr>
        <w:t>certificación</w:t>
      </w:r>
      <w:r w:rsidRPr="00F45370">
        <w:rPr>
          <w:rFonts w:ascii="gobCL" w:hAnsi="gobCL" w:cs="Arial"/>
          <w:b/>
          <w:color w:val="1F497D" w:themeColor="text2"/>
          <w:lang w:eastAsia="es-CL"/>
        </w:rPr>
        <w:t xml:space="preserve"> de las capturas al momento </w:t>
      </w:r>
      <w:r w:rsidR="005C0306" w:rsidRPr="00F45370">
        <w:rPr>
          <w:rFonts w:ascii="gobCL" w:hAnsi="gobCL" w:cs="Arial"/>
          <w:b/>
          <w:color w:val="1F497D" w:themeColor="text2"/>
          <w:lang w:eastAsia="es-CL"/>
        </w:rPr>
        <w:t>de</w:t>
      </w:r>
      <w:r w:rsidRPr="00F45370">
        <w:rPr>
          <w:rFonts w:ascii="gobCL" w:hAnsi="gobCL" w:cs="Arial"/>
          <w:b/>
          <w:color w:val="1F497D" w:themeColor="text2"/>
          <w:lang w:eastAsia="es-CL"/>
        </w:rPr>
        <w:t xml:space="preserve"> </w:t>
      </w:r>
      <w:r w:rsidR="005C0306" w:rsidRPr="00F45370">
        <w:rPr>
          <w:rFonts w:ascii="gobCL" w:hAnsi="gobCL" w:cs="Arial"/>
          <w:b/>
          <w:color w:val="1F497D" w:themeColor="text2"/>
          <w:lang w:eastAsia="es-CL"/>
        </w:rPr>
        <w:t>desembarque</w:t>
      </w:r>
      <w:r w:rsidRPr="00F45370">
        <w:rPr>
          <w:rFonts w:ascii="gobCL" w:hAnsi="gobCL" w:cs="Arial"/>
          <w:b/>
          <w:color w:val="1F497D" w:themeColor="text2"/>
          <w:lang w:eastAsia="es-CL"/>
        </w:rPr>
        <w:t xml:space="preserve"> de conformidad </w:t>
      </w:r>
      <w:r w:rsidR="005C0306" w:rsidRPr="00F45370">
        <w:rPr>
          <w:rFonts w:ascii="gobCL" w:hAnsi="gobCL" w:cs="Arial"/>
          <w:b/>
          <w:color w:val="1F497D" w:themeColor="text2"/>
          <w:lang w:eastAsia="es-CL"/>
        </w:rPr>
        <w:t>con</w:t>
      </w:r>
      <w:r w:rsidRPr="00F45370">
        <w:rPr>
          <w:rFonts w:ascii="gobCL" w:hAnsi="gobCL" w:cs="Arial"/>
          <w:b/>
          <w:color w:val="1F497D" w:themeColor="text2"/>
          <w:lang w:eastAsia="es-CL"/>
        </w:rPr>
        <w:t xml:space="preserve"> el artículo 64 E.</w:t>
      </w:r>
    </w:p>
    <w:p w:rsidR="0018150A" w:rsidRPr="00F45370" w:rsidRDefault="0018150A" w:rsidP="00F45370">
      <w:pPr>
        <w:spacing w:after="0" w:line="240" w:lineRule="auto"/>
        <w:jc w:val="both"/>
        <w:rPr>
          <w:rFonts w:ascii="gobCL" w:hAnsi="gobCL" w:cs="Arial"/>
          <w:b/>
          <w:color w:val="1F497D" w:themeColor="text2"/>
          <w:lang w:eastAsia="es-CL"/>
        </w:rPr>
      </w:pPr>
    </w:p>
    <w:p w:rsidR="0018150A" w:rsidRPr="00F45370" w:rsidRDefault="0018150A" w:rsidP="00F45370">
      <w:pPr>
        <w:spacing w:after="0" w:line="240" w:lineRule="auto"/>
        <w:ind w:left="708"/>
        <w:jc w:val="both"/>
        <w:rPr>
          <w:rFonts w:ascii="gobCL" w:hAnsi="gobCL" w:cs="Arial"/>
          <w:b/>
          <w:color w:val="1F497D" w:themeColor="text2"/>
          <w:lang w:eastAsia="es-CL"/>
        </w:rPr>
      </w:pPr>
      <w:r w:rsidRPr="00F45370">
        <w:rPr>
          <w:rFonts w:ascii="gobCL" w:hAnsi="gobCL" w:cs="Arial"/>
          <w:b/>
          <w:color w:val="1F497D" w:themeColor="text2"/>
          <w:lang w:eastAsia="es-CL"/>
        </w:rPr>
        <w:t xml:space="preserve">Por lo tanto un </w:t>
      </w:r>
      <w:r w:rsidRPr="00F45370">
        <w:rPr>
          <w:rFonts w:ascii="gobCL" w:hAnsi="gobCL" w:cs="Arial"/>
          <w:b/>
          <w:color w:val="1F497D" w:themeColor="text2"/>
          <w:u w:val="single"/>
          <w:lang w:eastAsia="es-CL"/>
        </w:rPr>
        <w:t xml:space="preserve">titular de LTP B que es armador </w:t>
      </w:r>
      <w:r w:rsidR="005C0306" w:rsidRPr="00F45370">
        <w:rPr>
          <w:rFonts w:ascii="gobCL" w:hAnsi="gobCL" w:cs="Arial"/>
          <w:b/>
          <w:color w:val="1F497D" w:themeColor="text2"/>
          <w:u w:val="single"/>
          <w:lang w:eastAsia="es-CL"/>
        </w:rPr>
        <w:t>artesanal</w:t>
      </w:r>
      <w:r w:rsidRPr="00F45370">
        <w:rPr>
          <w:rFonts w:ascii="gobCL" w:hAnsi="gobCL" w:cs="Arial"/>
          <w:b/>
          <w:color w:val="1F497D" w:themeColor="text2"/>
          <w:lang w:eastAsia="es-CL"/>
        </w:rPr>
        <w:t xml:space="preserve">, se </w:t>
      </w:r>
      <w:r w:rsidR="005C0306" w:rsidRPr="00F45370">
        <w:rPr>
          <w:rFonts w:ascii="gobCL" w:hAnsi="gobCL" w:cs="Arial"/>
          <w:b/>
          <w:color w:val="1F497D" w:themeColor="text2"/>
          <w:lang w:eastAsia="es-CL"/>
        </w:rPr>
        <w:t>puede auto ced</w:t>
      </w:r>
      <w:r w:rsidRPr="00F45370">
        <w:rPr>
          <w:rFonts w:ascii="gobCL" w:hAnsi="gobCL" w:cs="Arial"/>
          <w:b/>
          <w:color w:val="1F497D" w:themeColor="text2"/>
          <w:lang w:eastAsia="es-CL"/>
        </w:rPr>
        <w:t xml:space="preserve">er las toneladas que representa su </w:t>
      </w:r>
      <w:r w:rsidR="005C0306" w:rsidRPr="00F45370">
        <w:rPr>
          <w:rFonts w:ascii="gobCL" w:hAnsi="gobCL" w:cs="Arial"/>
          <w:b/>
          <w:color w:val="1F497D" w:themeColor="text2"/>
          <w:lang w:eastAsia="es-CL"/>
        </w:rPr>
        <w:t>licencia</w:t>
      </w:r>
      <w:r w:rsidRPr="00F45370">
        <w:rPr>
          <w:rFonts w:ascii="gobCL" w:hAnsi="gobCL" w:cs="Arial"/>
          <w:b/>
          <w:color w:val="1F497D" w:themeColor="text2"/>
          <w:lang w:eastAsia="es-CL"/>
        </w:rPr>
        <w:t xml:space="preserve"> para </w:t>
      </w:r>
      <w:r w:rsidR="005C0306" w:rsidRPr="00F45370">
        <w:rPr>
          <w:rFonts w:ascii="gobCL" w:hAnsi="gobCL" w:cs="Arial"/>
          <w:b/>
          <w:color w:val="1F497D" w:themeColor="text2"/>
          <w:lang w:eastAsia="es-CL"/>
        </w:rPr>
        <w:t>ser</w:t>
      </w:r>
      <w:r w:rsidRPr="00F45370">
        <w:rPr>
          <w:rFonts w:ascii="gobCL" w:hAnsi="gobCL" w:cs="Arial"/>
          <w:b/>
          <w:color w:val="1F497D" w:themeColor="text2"/>
          <w:lang w:eastAsia="es-CL"/>
        </w:rPr>
        <w:t xml:space="preserve"> capturadas en la región donde tiene su RPA, </w:t>
      </w:r>
      <w:r w:rsidR="00696867" w:rsidRPr="00F45370">
        <w:rPr>
          <w:rFonts w:ascii="gobCL" w:hAnsi="gobCL" w:cs="Arial"/>
          <w:b/>
          <w:color w:val="1F497D" w:themeColor="text2"/>
          <w:lang w:eastAsia="es-CL"/>
        </w:rPr>
        <w:t>dentro</w:t>
      </w:r>
      <w:r w:rsidRPr="00F45370">
        <w:rPr>
          <w:rFonts w:ascii="gobCL" w:hAnsi="gobCL" w:cs="Arial"/>
          <w:b/>
          <w:color w:val="1F497D" w:themeColor="text2"/>
          <w:lang w:eastAsia="es-CL"/>
        </w:rPr>
        <w:t xml:space="preserve"> del año calendario </w:t>
      </w:r>
      <w:r w:rsidR="00696867" w:rsidRPr="00F45370">
        <w:rPr>
          <w:rFonts w:ascii="gobCL" w:hAnsi="gobCL" w:cs="Arial"/>
          <w:b/>
          <w:color w:val="1F497D" w:themeColor="text2"/>
          <w:lang w:eastAsia="es-CL"/>
        </w:rPr>
        <w:t>respe</w:t>
      </w:r>
      <w:r w:rsidR="00AD72D6">
        <w:rPr>
          <w:rFonts w:ascii="gobCL" w:hAnsi="gobCL" w:cs="Arial"/>
          <w:b/>
          <w:color w:val="1F497D" w:themeColor="text2"/>
          <w:lang w:eastAsia="es-CL"/>
        </w:rPr>
        <w:t>c</w:t>
      </w:r>
      <w:r w:rsidR="00696867" w:rsidRPr="00F45370">
        <w:rPr>
          <w:rFonts w:ascii="gobCL" w:hAnsi="gobCL" w:cs="Arial"/>
          <w:b/>
          <w:color w:val="1F497D" w:themeColor="text2"/>
          <w:lang w:eastAsia="es-CL"/>
        </w:rPr>
        <w:t>tivo</w:t>
      </w:r>
      <w:r w:rsidRPr="00F45370">
        <w:rPr>
          <w:rFonts w:ascii="gobCL" w:hAnsi="gobCL" w:cs="Arial"/>
          <w:b/>
          <w:color w:val="1F497D" w:themeColor="text2"/>
          <w:lang w:eastAsia="es-CL"/>
        </w:rPr>
        <w:t xml:space="preserve">, </w:t>
      </w:r>
      <w:r w:rsidR="00696867" w:rsidRPr="00F45370">
        <w:rPr>
          <w:rFonts w:ascii="gobCL" w:hAnsi="gobCL" w:cs="Arial"/>
          <w:b/>
          <w:color w:val="1F497D" w:themeColor="text2"/>
          <w:lang w:eastAsia="es-CL"/>
        </w:rPr>
        <w:t>certificando</w:t>
      </w:r>
      <w:r w:rsidRPr="00F45370">
        <w:rPr>
          <w:rFonts w:ascii="gobCL" w:hAnsi="gobCL" w:cs="Arial"/>
          <w:b/>
          <w:color w:val="1F497D" w:themeColor="text2"/>
          <w:lang w:eastAsia="es-CL"/>
        </w:rPr>
        <w:t xml:space="preserve"> capturas e </w:t>
      </w:r>
      <w:r w:rsidR="00696867" w:rsidRPr="00F45370">
        <w:rPr>
          <w:rFonts w:ascii="gobCL" w:hAnsi="gobCL" w:cs="Arial"/>
          <w:b/>
          <w:color w:val="1F497D" w:themeColor="text2"/>
          <w:lang w:eastAsia="es-CL"/>
        </w:rPr>
        <w:t>inscribiéndose</w:t>
      </w:r>
      <w:r w:rsidRPr="00F45370">
        <w:rPr>
          <w:rFonts w:ascii="gobCL" w:hAnsi="gobCL" w:cs="Arial"/>
          <w:b/>
          <w:color w:val="1F497D" w:themeColor="text2"/>
          <w:lang w:eastAsia="es-CL"/>
        </w:rPr>
        <w:t xml:space="preserve"> en el </w:t>
      </w:r>
      <w:r w:rsidR="00696867" w:rsidRPr="00F45370">
        <w:rPr>
          <w:rFonts w:ascii="gobCL" w:hAnsi="gobCL" w:cs="Arial"/>
          <w:b/>
          <w:color w:val="1F497D" w:themeColor="text2"/>
          <w:lang w:eastAsia="es-CL"/>
        </w:rPr>
        <w:t>Registro</w:t>
      </w:r>
      <w:r w:rsidRPr="00F45370">
        <w:rPr>
          <w:rFonts w:ascii="gobCL" w:hAnsi="gobCL" w:cs="Arial"/>
          <w:b/>
          <w:color w:val="1F497D" w:themeColor="text2"/>
          <w:lang w:eastAsia="es-CL"/>
        </w:rPr>
        <w:t xml:space="preserve"> de </w:t>
      </w:r>
      <w:r w:rsidR="00696867" w:rsidRPr="00F45370">
        <w:rPr>
          <w:rFonts w:ascii="gobCL" w:hAnsi="gobCL" w:cs="Arial"/>
          <w:b/>
          <w:color w:val="1F497D" w:themeColor="text2"/>
          <w:lang w:eastAsia="es-CL"/>
        </w:rPr>
        <w:t>naves</w:t>
      </w:r>
      <w:r w:rsidRPr="00F45370">
        <w:rPr>
          <w:rFonts w:ascii="gobCL" w:hAnsi="gobCL" w:cs="Arial"/>
          <w:b/>
          <w:color w:val="1F497D" w:themeColor="text2"/>
          <w:lang w:eastAsia="es-CL"/>
        </w:rPr>
        <w:t xml:space="preserve"> a que alude el artículo 29 de la Ley de Pesca y </w:t>
      </w:r>
      <w:r w:rsidR="00696867" w:rsidRPr="00F45370">
        <w:rPr>
          <w:rFonts w:ascii="gobCL" w:hAnsi="gobCL" w:cs="Arial"/>
          <w:b/>
          <w:color w:val="1F497D" w:themeColor="text2"/>
          <w:lang w:eastAsia="es-CL"/>
        </w:rPr>
        <w:t>Acuicultura</w:t>
      </w:r>
      <w:r w:rsidRPr="00F45370">
        <w:rPr>
          <w:rFonts w:ascii="gobCL" w:hAnsi="gobCL" w:cs="Arial"/>
          <w:b/>
          <w:color w:val="1F497D" w:themeColor="text2"/>
          <w:lang w:eastAsia="es-CL"/>
        </w:rPr>
        <w:t>. (</w:t>
      </w:r>
      <w:r w:rsidR="00696867" w:rsidRPr="00F45370">
        <w:rPr>
          <w:rFonts w:ascii="gobCL" w:hAnsi="gobCL" w:cs="Arial"/>
          <w:b/>
          <w:color w:val="1F497D" w:themeColor="text2"/>
          <w:lang w:eastAsia="es-CL"/>
        </w:rPr>
        <w:t>Requisito</w:t>
      </w:r>
      <w:r w:rsidRPr="00F45370">
        <w:rPr>
          <w:rFonts w:ascii="gobCL" w:hAnsi="gobCL" w:cs="Arial"/>
          <w:b/>
          <w:color w:val="1F497D" w:themeColor="text2"/>
          <w:lang w:eastAsia="es-CL"/>
        </w:rPr>
        <w:t xml:space="preserve"> habilitante para </w:t>
      </w:r>
      <w:r w:rsidR="00696867" w:rsidRPr="00F45370">
        <w:rPr>
          <w:rFonts w:ascii="gobCL" w:hAnsi="gobCL" w:cs="Arial"/>
          <w:b/>
          <w:color w:val="1F497D" w:themeColor="text2"/>
          <w:lang w:eastAsia="es-CL"/>
        </w:rPr>
        <w:t>operativizar</w:t>
      </w:r>
      <w:r w:rsidRPr="00F45370">
        <w:rPr>
          <w:rFonts w:ascii="gobCL" w:hAnsi="gobCL" w:cs="Arial"/>
          <w:b/>
          <w:color w:val="1F497D" w:themeColor="text2"/>
          <w:lang w:eastAsia="es-CL"/>
        </w:rPr>
        <w:t xml:space="preserve"> sus LTP)</w:t>
      </w:r>
    </w:p>
    <w:p w:rsidR="0018150A" w:rsidRPr="00F45370" w:rsidRDefault="0018150A" w:rsidP="00F45370">
      <w:pPr>
        <w:spacing w:after="0" w:line="240" w:lineRule="auto"/>
        <w:jc w:val="both"/>
        <w:rPr>
          <w:rFonts w:ascii="gobCL" w:hAnsi="gobCL" w:cs="Arial"/>
          <w:b/>
          <w:color w:val="1F497D" w:themeColor="text2"/>
          <w:lang w:eastAsia="es-CL"/>
        </w:rPr>
      </w:pPr>
    </w:p>
    <w:p w:rsidR="0018150A" w:rsidRPr="00F45370" w:rsidRDefault="0018150A" w:rsidP="00F45370">
      <w:pPr>
        <w:spacing w:after="0" w:line="240" w:lineRule="auto"/>
        <w:ind w:left="708"/>
        <w:jc w:val="both"/>
        <w:rPr>
          <w:rFonts w:ascii="gobCL" w:hAnsi="gobCL" w:cs="Arial"/>
          <w:b/>
          <w:color w:val="1F497D" w:themeColor="text2"/>
          <w:lang w:eastAsia="es-CL"/>
        </w:rPr>
      </w:pPr>
      <w:r w:rsidRPr="00F45370">
        <w:rPr>
          <w:rFonts w:ascii="gobCL" w:hAnsi="gobCL" w:cs="Arial"/>
          <w:b/>
          <w:color w:val="1F497D" w:themeColor="text2"/>
          <w:lang w:eastAsia="es-CL"/>
        </w:rPr>
        <w:t xml:space="preserve">Si en cambio el </w:t>
      </w:r>
      <w:r w:rsidRPr="00F45370">
        <w:rPr>
          <w:rFonts w:ascii="gobCL" w:hAnsi="gobCL" w:cs="Arial"/>
          <w:b/>
          <w:color w:val="1F497D" w:themeColor="text2"/>
          <w:u w:val="single"/>
          <w:lang w:eastAsia="es-CL"/>
        </w:rPr>
        <w:t xml:space="preserve">titular de LTP B no es </w:t>
      </w:r>
      <w:r w:rsidR="00696867" w:rsidRPr="00F45370">
        <w:rPr>
          <w:rFonts w:ascii="gobCL" w:hAnsi="gobCL" w:cs="Arial"/>
          <w:b/>
          <w:color w:val="1F497D" w:themeColor="text2"/>
          <w:u w:val="single"/>
          <w:lang w:eastAsia="es-CL"/>
        </w:rPr>
        <w:t>armador</w:t>
      </w:r>
      <w:r w:rsidRPr="00F45370">
        <w:rPr>
          <w:rFonts w:ascii="gobCL" w:hAnsi="gobCL" w:cs="Arial"/>
          <w:b/>
          <w:color w:val="1F497D" w:themeColor="text2"/>
          <w:u w:val="single"/>
          <w:lang w:eastAsia="es-CL"/>
        </w:rPr>
        <w:t xml:space="preserve"> </w:t>
      </w:r>
      <w:r w:rsidR="00696867" w:rsidRPr="00F45370">
        <w:rPr>
          <w:rFonts w:ascii="gobCL" w:hAnsi="gobCL" w:cs="Arial"/>
          <w:b/>
          <w:color w:val="1F497D" w:themeColor="text2"/>
          <w:u w:val="single"/>
          <w:lang w:eastAsia="es-CL"/>
        </w:rPr>
        <w:t>artesanal</w:t>
      </w:r>
      <w:r w:rsidRPr="00F45370">
        <w:rPr>
          <w:rFonts w:ascii="gobCL" w:hAnsi="gobCL" w:cs="Arial"/>
          <w:b/>
          <w:color w:val="1F497D" w:themeColor="text2"/>
          <w:lang w:eastAsia="es-CL"/>
        </w:rPr>
        <w:t xml:space="preserve"> puede ceder las toneladas que represent</w:t>
      </w:r>
      <w:r w:rsidR="00696867" w:rsidRPr="00F45370">
        <w:rPr>
          <w:rFonts w:ascii="gobCL" w:hAnsi="gobCL" w:cs="Arial"/>
          <w:b/>
          <w:color w:val="1F497D" w:themeColor="text2"/>
          <w:lang w:eastAsia="es-CL"/>
        </w:rPr>
        <w:t xml:space="preserve">a su licencia </w:t>
      </w:r>
      <w:r w:rsidRPr="00F45370">
        <w:rPr>
          <w:rFonts w:ascii="gobCL" w:hAnsi="gobCL" w:cs="Arial"/>
          <w:b/>
          <w:color w:val="1F497D" w:themeColor="text2"/>
          <w:lang w:eastAsia="es-CL"/>
        </w:rPr>
        <w:t xml:space="preserve">a uno o </w:t>
      </w:r>
      <w:r w:rsidR="00696867" w:rsidRPr="00F45370">
        <w:rPr>
          <w:rFonts w:ascii="gobCL" w:hAnsi="gobCL" w:cs="Arial"/>
          <w:b/>
          <w:color w:val="1F497D" w:themeColor="text2"/>
          <w:lang w:eastAsia="es-CL"/>
        </w:rPr>
        <w:t>más</w:t>
      </w:r>
      <w:r w:rsidRPr="00F45370">
        <w:rPr>
          <w:rFonts w:ascii="gobCL" w:hAnsi="gobCL" w:cs="Arial"/>
          <w:b/>
          <w:color w:val="1F497D" w:themeColor="text2"/>
          <w:lang w:eastAsia="es-CL"/>
        </w:rPr>
        <w:t xml:space="preserve"> armadores inscritos en la pesquería respe</w:t>
      </w:r>
      <w:r w:rsidR="00AD72D6">
        <w:rPr>
          <w:rFonts w:ascii="gobCL" w:hAnsi="gobCL" w:cs="Arial"/>
          <w:b/>
          <w:color w:val="1F497D" w:themeColor="text2"/>
          <w:lang w:eastAsia="es-CL"/>
        </w:rPr>
        <w:t>c</w:t>
      </w:r>
      <w:r w:rsidRPr="00F45370">
        <w:rPr>
          <w:rFonts w:ascii="gobCL" w:hAnsi="gobCL" w:cs="Arial"/>
          <w:b/>
          <w:color w:val="1F497D" w:themeColor="text2"/>
          <w:lang w:eastAsia="es-CL"/>
        </w:rPr>
        <w:t xml:space="preserve">tiva, quien deberá </w:t>
      </w:r>
      <w:r w:rsidR="00696867" w:rsidRPr="00F45370">
        <w:rPr>
          <w:rFonts w:ascii="gobCL" w:hAnsi="gobCL" w:cs="Arial"/>
          <w:b/>
          <w:color w:val="1F497D" w:themeColor="text2"/>
          <w:lang w:eastAsia="es-CL"/>
        </w:rPr>
        <w:t>inscribirse</w:t>
      </w:r>
      <w:r w:rsidRPr="00F45370">
        <w:rPr>
          <w:rFonts w:ascii="gobCL" w:hAnsi="gobCL" w:cs="Arial"/>
          <w:b/>
          <w:color w:val="1F497D" w:themeColor="text2"/>
          <w:lang w:eastAsia="es-CL"/>
        </w:rPr>
        <w:t xml:space="preserve"> en el registro </w:t>
      </w:r>
      <w:r w:rsidR="00696867" w:rsidRPr="00F45370">
        <w:rPr>
          <w:rFonts w:ascii="gobCL" w:hAnsi="gobCL" w:cs="Arial"/>
          <w:b/>
          <w:color w:val="1F497D" w:themeColor="text2"/>
          <w:lang w:eastAsia="es-CL"/>
        </w:rPr>
        <w:t>señalado</w:t>
      </w:r>
      <w:r w:rsidRPr="00F45370">
        <w:rPr>
          <w:rFonts w:ascii="gobCL" w:hAnsi="gobCL" w:cs="Arial"/>
          <w:b/>
          <w:color w:val="1F497D" w:themeColor="text2"/>
          <w:lang w:eastAsia="es-CL"/>
        </w:rPr>
        <w:t xml:space="preserve"> anteriormente (</w:t>
      </w:r>
      <w:r w:rsidR="00696867" w:rsidRPr="00F45370">
        <w:rPr>
          <w:rFonts w:ascii="gobCL" w:hAnsi="gobCL" w:cs="Arial"/>
          <w:b/>
          <w:color w:val="1F497D" w:themeColor="text2"/>
          <w:lang w:eastAsia="es-CL"/>
        </w:rPr>
        <w:t xml:space="preserve">art. </w:t>
      </w:r>
      <w:r w:rsidRPr="00F45370">
        <w:rPr>
          <w:rFonts w:ascii="gobCL" w:hAnsi="gobCL" w:cs="Arial"/>
          <w:b/>
          <w:color w:val="1F497D" w:themeColor="text2"/>
          <w:lang w:eastAsia="es-CL"/>
        </w:rPr>
        <w:t>29 Ley de Pesca</w:t>
      </w:r>
      <w:r w:rsidR="00696867" w:rsidRPr="00F45370">
        <w:rPr>
          <w:rFonts w:ascii="gobCL" w:hAnsi="gobCL" w:cs="Arial"/>
          <w:b/>
          <w:color w:val="1F497D" w:themeColor="text2"/>
          <w:lang w:eastAsia="es-CL"/>
        </w:rPr>
        <w:t xml:space="preserve"> y Acuicultura</w:t>
      </w:r>
      <w:r w:rsidRPr="00F45370">
        <w:rPr>
          <w:rFonts w:ascii="gobCL" w:hAnsi="gobCL" w:cs="Arial"/>
          <w:b/>
          <w:color w:val="1F497D" w:themeColor="text2"/>
          <w:lang w:eastAsia="es-CL"/>
        </w:rPr>
        <w:t>), operar s</w:t>
      </w:r>
      <w:r w:rsidR="00177862">
        <w:rPr>
          <w:rFonts w:ascii="gobCL" w:hAnsi="gobCL" w:cs="Arial"/>
          <w:b/>
          <w:color w:val="1F497D" w:themeColor="text2"/>
          <w:lang w:eastAsia="es-CL"/>
        </w:rPr>
        <w:t>o</w:t>
      </w:r>
      <w:r w:rsidRPr="00F45370">
        <w:rPr>
          <w:rFonts w:ascii="gobCL" w:hAnsi="gobCL" w:cs="Arial"/>
          <w:b/>
          <w:color w:val="1F497D" w:themeColor="text2"/>
          <w:lang w:eastAsia="es-CL"/>
        </w:rPr>
        <w:t xml:space="preserve">lo en la región donde </w:t>
      </w:r>
      <w:r w:rsidR="00696867" w:rsidRPr="00F45370">
        <w:rPr>
          <w:rFonts w:ascii="gobCL" w:hAnsi="gobCL" w:cs="Arial"/>
          <w:b/>
          <w:color w:val="1F497D" w:themeColor="text2"/>
          <w:lang w:eastAsia="es-CL"/>
        </w:rPr>
        <w:t>está</w:t>
      </w:r>
      <w:r w:rsidRPr="00F45370">
        <w:rPr>
          <w:rFonts w:ascii="gobCL" w:hAnsi="gobCL" w:cs="Arial"/>
          <w:b/>
          <w:color w:val="1F497D" w:themeColor="text2"/>
          <w:lang w:eastAsia="es-CL"/>
        </w:rPr>
        <w:t xml:space="preserve"> inscrito, en el año calendario re</w:t>
      </w:r>
      <w:r w:rsidR="00696867" w:rsidRPr="00F45370">
        <w:rPr>
          <w:rFonts w:ascii="gobCL" w:hAnsi="gobCL" w:cs="Arial"/>
          <w:b/>
          <w:color w:val="1F497D" w:themeColor="text2"/>
          <w:lang w:eastAsia="es-CL"/>
        </w:rPr>
        <w:t>spectivo y certificando sus capturas.</w:t>
      </w:r>
    </w:p>
    <w:p w:rsidR="007F504A" w:rsidRPr="00F45370" w:rsidRDefault="007F504A" w:rsidP="00F45370">
      <w:pPr>
        <w:pStyle w:val="Textosinformato"/>
        <w:ind w:left="720"/>
        <w:jc w:val="both"/>
        <w:rPr>
          <w:rFonts w:ascii="gobCL" w:hAnsi="gobCL"/>
          <w:szCs w:val="22"/>
        </w:rPr>
      </w:pPr>
    </w:p>
    <w:p w:rsidR="00A4725E" w:rsidRPr="00F45370" w:rsidRDefault="00A4725E" w:rsidP="00F45370">
      <w:pPr>
        <w:pStyle w:val="Textosinformato"/>
        <w:numPr>
          <w:ilvl w:val="0"/>
          <w:numId w:val="6"/>
        </w:numPr>
        <w:jc w:val="both"/>
        <w:rPr>
          <w:rFonts w:ascii="gobCL" w:hAnsi="gobCL"/>
          <w:szCs w:val="22"/>
        </w:rPr>
      </w:pPr>
      <w:r w:rsidRPr="00F45370">
        <w:rPr>
          <w:rFonts w:ascii="gobCL" w:hAnsi="gobCL"/>
          <w:szCs w:val="22"/>
        </w:rPr>
        <w:t xml:space="preserve">Puede una lancha artesanal pescar un lote en una región distinta a su registro </w:t>
      </w:r>
      <w:r w:rsidR="00316B7B" w:rsidRPr="00F45370">
        <w:rPr>
          <w:rFonts w:ascii="gobCL" w:hAnsi="gobCL"/>
          <w:szCs w:val="22"/>
        </w:rPr>
        <w:t>pesquero</w:t>
      </w:r>
      <w:proofErr w:type="gramStart"/>
      <w:r w:rsidR="00316B7B" w:rsidRPr="00F45370">
        <w:rPr>
          <w:rFonts w:ascii="gobCL" w:hAnsi="gobCL"/>
          <w:szCs w:val="22"/>
        </w:rPr>
        <w:t>?</w:t>
      </w:r>
      <w:proofErr w:type="gramEnd"/>
    </w:p>
    <w:p w:rsidR="009A6983" w:rsidRPr="00F45370" w:rsidRDefault="009A6983" w:rsidP="00F45370">
      <w:pPr>
        <w:pStyle w:val="Textosinformato"/>
        <w:ind w:left="720"/>
        <w:jc w:val="both"/>
        <w:rPr>
          <w:rFonts w:ascii="gobCL" w:hAnsi="gobCL"/>
          <w:szCs w:val="22"/>
        </w:rPr>
      </w:pPr>
    </w:p>
    <w:p w:rsidR="009A6983" w:rsidRPr="00F45370" w:rsidRDefault="009A6983" w:rsidP="00F45370">
      <w:pPr>
        <w:spacing w:after="0" w:line="240" w:lineRule="auto"/>
        <w:ind w:left="708"/>
        <w:jc w:val="both"/>
        <w:rPr>
          <w:rFonts w:ascii="gobCL" w:hAnsi="gobCL" w:cs="Times New Roman"/>
          <w:b/>
          <w:color w:val="1F497D" w:themeColor="text2"/>
          <w:lang w:eastAsia="es-CL"/>
        </w:rPr>
      </w:pPr>
      <w:r w:rsidRPr="00F45370">
        <w:rPr>
          <w:rFonts w:ascii="gobCL" w:hAnsi="gobCL" w:cs="Times New Roman"/>
          <w:b/>
          <w:color w:val="1F497D" w:themeColor="text2"/>
          <w:lang w:eastAsia="es-CL"/>
        </w:rPr>
        <w:t xml:space="preserve">A las licencias transables de pesca se le aplica la normativa industrial, por lo que sus titulares pueden operar dentro de la unidad de pesquería respectiva, pero  no pueden operar dentro de las 5 millas reservadas para el sector artesanal. </w:t>
      </w:r>
      <w:r w:rsidR="00AD72D6">
        <w:rPr>
          <w:rFonts w:ascii="gobCL" w:hAnsi="gobCL" w:cs="Times New Roman"/>
          <w:b/>
          <w:color w:val="1F497D" w:themeColor="text2"/>
          <w:lang w:eastAsia="es-CL"/>
        </w:rPr>
        <w:t>La normativa industrial se refiere también, por ejemplo, a certificación de capturas y contar con fauna asociada (Res 3.200)</w:t>
      </w:r>
    </w:p>
    <w:p w:rsidR="009A6983" w:rsidRPr="00F45370" w:rsidRDefault="009A6983" w:rsidP="00F45370">
      <w:pPr>
        <w:spacing w:after="0" w:line="240" w:lineRule="auto"/>
        <w:jc w:val="both"/>
        <w:rPr>
          <w:rFonts w:ascii="gobCL" w:hAnsi="gobCL" w:cs="Times New Roman"/>
          <w:b/>
          <w:color w:val="1F497D" w:themeColor="text2"/>
          <w:lang w:eastAsia="es-CL"/>
        </w:rPr>
      </w:pPr>
    </w:p>
    <w:p w:rsidR="009A6983" w:rsidRPr="00F45370" w:rsidRDefault="009A6983" w:rsidP="00F45370">
      <w:pPr>
        <w:spacing w:after="0" w:line="240" w:lineRule="auto"/>
        <w:ind w:left="708"/>
        <w:jc w:val="both"/>
        <w:rPr>
          <w:rFonts w:ascii="gobCL" w:hAnsi="gobCL" w:cs="Times New Roman"/>
          <w:b/>
          <w:color w:val="1F497D" w:themeColor="text2"/>
          <w:lang w:eastAsia="es-CL"/>
        </w:rPr>
      </w:pPr>
      <w:r w:rsidRPr="00F45370">
        <w:rPr>
          <w:rFonts w:ascii="gobCL" w:hAnsi="gobCL" w:cs="Times New Roman"/>
          <w:b/>
          <w:color w:val="1F497D" w:themeColor="text2"/>
          <w:lang w:eastAsia="es-CL"/>
        </w:rPr>
        <w:t>Con todo si un titular de LTP B, ya sea persona natural o jurídica, cede parte o el total de las toneladas que represente su licencia transable de pesca en un año calendario, a un armador artesanal, este puede operar dentro de las 5 millas pero sólo en la región donde se encuentre inscrito de acuerdo a su Registro Pesquero Artesanal vigente,</w:t>
      </w:r>
      <w:r w:rsidR="009E0369" w:rsidRPr="00F45370">
        <w:rPr>
          <w:rFonts w:ascii="gobCL" w:hAnsi="gobCL" w:cs="Times New Roman"/>
          <w:b/>
          <w:color w:val="1F497D" w:themeColor="text2"/>
          <w:lang w:eastAsia="es-CL"/>
        </w:rPr>
        <w:t xml:space="preserve"> certificando sus capturas e inscribiéndose en el Registro de Naves llevado por el Servicio Nacional de Pesca y Acuicultura</w:t>
      </w:r>
      <w:r w:rsidRPr="00F45370">
        <w:rPr>
          <w:rFonts w:ascii="gobCL" w:hAnsi="gobCL" w:cs="Times New Roman"/>
          <w:b/>
          <w:color w:val="1F497D" w:themeColor="text2"/>
          <w:lang w:eastAsia="es-CL"/>
        </w:rPr>
        <w:t xml:space="preserve"> todo ello en conformidad al artículo 55 T de la Ley General de Pesca y Acuicultura.</w:t>
      </w:r>
    </w:p>
    <w:p w:rsidR="00A4725E" w:rsidRPr="00F45370" w:rsidRDefault="00A4725E" w:rsidP="00F45370">
      <w:pPr>
        <w:pStyle w:val="Textosinformato"/>
        <w:ind w:left="720"/>
        <w:jc w:val="both"/>
        <w:rPr>
          <w:rFonts w:ascii="gobCL" w:hAnsi="gobCL"/>
          <w:szCs w:val="22"/>
        </w:rPr>
      </w:pPr>
    </w:p>
    <w:p w:rsidR="00A4725E" w:rsidRPr="00F45370" w:rsidRDefault="00A4725E" w:rsidP="00F45370">
      <w:pPr>
        <w:pStyle w:val="Textosinformato"/>
        <w:numPr>
          <w:ilvl w:val="0"/>
          <w:numId w:val="6"/>
        </w:numPr>
        <w:jc w:val="both"/>
        <w:rPr>
          <w:rFonts w:ascii="gobCL" w:hAnsi="gobCL"/>
          <w:szCs w:val="22"/>
        </w:rPr>
      </w:pPr>
      <w:r w:rsidRPr="00F45370">
        <w:rPr>
          <w:rFonts w:ascii="gobCL" w:hAnsi="gobCL"/>
          <w:szCs w:val="22"/>
        </w:rPr>
        <w:t xml:space="preserve"> Al adjudicar un lote debemos pagar lo ofertado, por otro lado la embarcación artesanal paga patente anual por ser mayor de 12 metros. Si queremos sacar ese lote con esa lancha que ya pago su </w:t>
      </w:r>
      <w:r w:rsidR="007D7DAF" w:rsidRPr="00F45370">
        <w:rPr>
          <w:rFonts w:ascii="gobCL" w:hAnsi="gobCL"/>
          <w:szCs w:val="22"/>
        </w:rPr>
        <w:t>patente,</w:t>
      </w:r>
      <w:r w:rsidRPr="00F45370">
        <w:rPr>
          <w:rFonts w:ascii="gobCL" w:hAnsi="gobCL"/>
          <w:szCs w:val="22"/>
        </w:rPr>
        <w:t xml:space="preserve"> debemos pagar algo </w:t>
      </w:r>
      <w:r w:rsidR="007D7DAF" w:rsidRPr="00F45370">
        <w:rPr>
          <w:rFonts w:ascii="gobCL" w:hAnsi="gobCL"/>
          <w:szCs w:val="22"/>
        </w:rPr>
        <w:t>más</w:t>
      </w:r>
      <w:proofErr w:type="gramStart"/>
      <w:r w:rsidR="007D7DAF" w:rsidRPr="00F45370">
        <w:rPr>
          <w:rFonts w:ascii="gobCL" w:hAnsi="gobCL"/>
          <w:szCs w:val="22"/>
        </w:rPr>
        <w:t>?</w:t>
      </w:r>
      <w:proofErr w:type="gramEnd"/>
    </w:p>
    <w:p w:rsidR="00316B7B" w:rsidRPr="00F45370" w:rsidRDefault="00316B7B" w:rsidP="00F45370">
      <w:pPr>
        <w:spacing w:after="0" w:line="240" w:lineRule="auto"/>
        <w:jc w:val="both"/>
        <w:rPr>
          <w:rFonts w:ascii="gobCL" w:hAnsi="gobCL"/>
          <w:b/>
          <w:color w:val="1F497D" w:themeColor="text2"/>
        </w:rPr>
      </w:pPr>
    </w:p>
    <w:p w:rsidR="00390C0B" w:rsidRDefault="00390C0B"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Times New Roman"/>
          <w:b/>
          <w:color w:val="1F497D" w:themeColor="text2"/>
          <w:lang w:val="es-ES_tradnl" w:eastAsia="es-ES"/>
        </w:rPr>
      </w:pPr>
      <w:r>
        <w:rPr>
          <w:rFonts w:ascii="gobCL" w:eastAsia="Times New Roman" w:hAnsi="gobCL" w:cs="Times New Roman"/>
          <w:b/>
          <w:color w:val="1F497D" w:themeColor="text2"/>
          <w:lang w:val="es-ES_tradnl" w:eastAsia="es-ES"/>
        </w:rPr>
        <w:t xml:space="preserve">Corresponde </w:t>
      </w:r>
      <w:r w:rsidR="00177862">
        <w:rPr>
          <w:rFonts w:ascii="gobCL" w:eastAsia="Times New Roman" w:hAnsi="gobCL" w:cs="Times New Roman"/>
          <w:b/>
          <w:color w:val="1F497D" w:themeColor="text2"/>
          <w:lang w:val="es-ES_tradnl" w:eastAsia="es-ES"/>
        </w:rPr>
        <w:t>efectuar 3 pagos:</w:t>
      </w:r>
    </w:p>
    <w:p w:rsidR="00177862" w:rsidRDefault="00177862" w:rsidP="00F45370">
      <w:pPr>
        <w:overflowPunct w:val="0"/>
        <w:autoSpaceDE w:val="0"/>
        <w:autoSpaceDN w:val="0"/>
        <w:adjustRightInd w:val="0"/>
        <w:spacing w:after="0" w:line="240" w:lineRule="auto"/>
        <w:ind w:left="708"/>
        <w:contextualSpacing/>
        <w:jc w:val="both"/>
        <w:textAlignment w:val="baseline"/>
        <w:rPr>
          <w:rFonts w:ascii="gobCL" w:eastAsia="Times New Roman" w:hAnsi="gobCL" w:cs="Times New Roman"/>
          <w:b/>
          <w:color w:val="1F497D" w:themeColor="text2"/>
          <w:lang w:val="es-ES_tradnl" w:eastAsia="es-ES"/>
        </w:rPr>
      </w:pPr>
    </w:p>
    <w:p w:rsidR="00F45370" w:rsidRDefault="00F45370" w:rsidP="00177862">
      <w:pPr>
        <w:pStyle w:val="Prrafodelista"/>
        <w:numPr>
          <w:ilvl w:val="0"/>
          <w:numId w:val="11"/>
        </w:numPr>
        <w:overflowPunct w:val="0"/>
        <w:autoSpaceDE w:val="0"/>
        <w:autoSpaceDN w:val="0"/>
        <w:adjustRightInd w:val="0"/>
        <w:spacing w:after="0" w:line="240" w:lineRule="auto"/>
        <w:jc w:val="both"/>
        <w:textAlignment w:val="baseline"/>
        <w:rPr>
          <w:rFonts w:ascii="gobCL" w:eastAsia="Times New Roman" w:hAnsi="gobCL" w:cs="Times New Roman"/>
          <w:b/>
          <w:color w:val="1F497D" w:themeColor="text2"/>
          <w:lang w:val="es-ES_tradnl" w:eastAsia="es-ES"/>
        </w:rPr>
      </w:pPr>
      <w:r w:rsidRPr="00177862">
        <w:rPr>
          <w:rFonts w:ascii="gobCL" w:eastAsia="Times New Roman" w:hAnsi="gobCL" w:cs="Times New Roman"/>
          <w:b/>
          <w:color w:val="1F497D" w:themeColor="text2"/>
          <w:lang w:val="es-ES_tradnl" w:eastAsia="es-ES"/>
        </w:rPr>
        <w:t xml:space="preserve">Tal como se señalan en las bases administrativas, </w:t>
      </w:r>
      <w:r w:rsidRPr="00454F5B">
        <w:rPr>
          <w:rFonts w:ascii="gobCL" w:eastAsia="Times New Roman" w:hAnsi="gobCL" w:cs="Times New Roman"/>
          <w:b/>
          <w:color w:val="1F497D" w:themeColor="text2"/>
          <w:u w:val="single"/>
          <w:lang w:val="es-ES_tradnl" w:eastAsia="es-ES"/>
        </w:rPr>
        <w:t>el adjudicatario deberá pagar el monto correspondiente a la primera anualidad dentro de los quince días hábiles siguientes al día de la adjudicación del lote en la subasta.</w:t>
      </w:r>
      <w:r w:rsidRPr="00454F5B">
        <w:rPr>
          <w:rFonts w:ascii="gobCL" w:eastAsia="Times New Roman" w:hAnsi="gobCL" w:cs="Times New Roman"/>
          <w:b/>
          <w:color w:val="1F497D" w:themeColor="text2"/>
          <w:lang w:val="es-ES_tradnl" w:eastAsia="es-ES"/>
        </w:rPr>
        <w:t xml:space="preserve"> </w:t>
      </w:r>
    </w:p>
    <w:p w:rsidR="00177862" w:rsidRPr="00454F5B" w:rsidRDefault="00177862" w:rsidP="00177862">
      <w:pPr>
        <w:pStyle w:val="Prrafodelista"/>
        <w:overflowPunct w:val="0"/>
        <w:autoSpaceDE w:val="0"/>
        <w:autoSpaceDN w:val="0"/>
        <w:adjustRightInd w:val="0"/>
        <w:spacing w:after="0" w:line="240" w:lineRule="auto"/>
        <w:ind w:left="1428"/>
        <w:jc w:val="both"/>
        <w:textAlignment w:val="baseline"/>
        <w:rPr>
          <w:rFonts w:ascii="gobCL" w:eastAsia="Times New Roman" w:hAnsi="gobCL" w:cs="Times New Roman"/>
          <w:b/>
          <w:color w:val="1F497D" w:themeColor="text2"/>
          <w:lang w:val="es-ES_tradnl" w:eastAsia="es-ES"/>
        </w:rPr>
      </w:pPr>
    </w:p>
    <w:p w:rsidR="00F45370" w:rsidRPr="00F45370" w:rsidRDefault="00F45370" w:rsidP="00852623">
      <w:pPr>
        <w:overflowPunct w:val="0"/>
        <w:autoSpaceDE w:val="0"/>
        <w:autoSpaceDN w:val="0"/>
        <w:adjustRightInd w:val="0"/>
        <w:spacing w:after="0" w:line="240" w:lineRule="auto"/>
        <w:ind w:left="1068"/>
        <w:contextualSpacing/>
        <w:jc w:val="both"/>
        <w:textAlignment w:val="baseline"/>
        <w:rPr>
          <w:rFonts w:ascii="gobCL" w:eastAsia="Times New Roman" w:hAnsi="gobCL" w:cs="Times New Roman"/>
          <w:b/>
          <w:color w:val="1F497D" w:themeColor="text2"/>
          <w:lang w:val="es-ES_tradnl" w:eastAsia="es-ES"/>
        </w:rPr>
      </w:pPr>
      <w:r w:rsidRPr="00F45370">
        <w:rPr>
          <w:rFonts w:ascii="gobCL" w:eastAsia="Times New Roman" w:hAnsi="gobCL" w:cs="Times New Roman"/>
          <w:b/>
          <w:color w:val="1F497D" w:themeColor="text2"/>
          <w:lang w:val="es-ES_tradnl" w:eastAsia="es-ES"/>
        </w:rPr>
        <w:t>Recibida por la Subsecretaría copia auténtica de comprobante de pago de la primera anualidad, se procederá a restituir la garantía de seriedad de la oferta, y a emitir la correspondiente Licencia Transable de Pesca Clase B, en la que constará, la individualización del titular, el recurso, la unidad de pesquería en que podrá extraer, el coeficiente de participación y el valor de adjudicación, el que se expresará en UTM/tonelada por año.</w:t>
      </w:r>
    </w:p>
    <w:p w:rsidR="009E0369" w:rsidRPr="00F45370" w:rsidRDefault="009E0369" w:rsidP="00F45370">
      <w:pPr>
        <w:spacing w:after="0" w:line="240" w:lineRule="auto"/>
        <w:jc w:val="both"/>
        <w:rPr>
          <w:rFonts w:ascii="gobCL" w:hAnsi="gobCL"/>
          <w:b/>
          <w:color w:val="1F497D" w:themeColor="text2"/>
        </w:rPr>
      </w:pPr>
    </w:p>
    <w:p w:rsidR="009E0369" w:rsidRPr="00F45370" w:rsidRDefault="00F45370" w:rsidP="00852623">
      <w:pPr>
        <w:spacing w:after="0" w:line="240" w:lineRule="auto"/>
        <w:ind w:left="1068"/>
        <w:jc w:val="both"/>
        <w:rPr>
          <w:rFonts w:ascii="gobCL" w:hAnsi="gobCL" w:cs="Arial"/>
          <w:b/>
          <w:color w:val="1F497D" w:themeColor="text2"/>
          <w:lang w:eastAsia="es-CL"/>
        </w:rPr>
      </w:pPr>
      <w:r w:rsidRPr="00F45370">
        <w:rPr>
          <w:rFonts w:ascii="gobCL" w:hAnsi="gobCL" w:cs="Arial"/>
          <w:b/>
          <w:color w:val="1F497D" w:themeColor="text2"/>
          <w:lang w:eastAsia="es-CL"/>
        </w:rPr>
        <w:t>Las restantes 19 anualidades se pagan en el mes de marzo de cada año calendario.</w:t>
      </w:r>
      <w:r w:rsidR="009E0369" w:rsidRPr="00F45370">
        <w:rPr>
          <w:rFonts w:ascii="gobCL" w:hAnsi="gobCL" w:cs="Arial"/>
          <w:b/>
          <w:color w:val="1F497D" w:themeColor="text2"/>
          <w:lang w:eastAsia="es-CL"/>
        </w:rPr>
        <w:t xml:space="preserve"> (</w:t>
      </w:r>
      <w:r w:rsidRPr="00F45370">
        <w:rPr>
          <w:rFonts w:ascii="gobCL" w:hAnsi="gobCL" w:cs="Arial"/>
          <w:b/>
          <w:color w:val="1F497D" w:themeColor="text2"/>
          <w:lang w:eastAsia="es-CL"/>
        </w:rPr>
        <w:t>Una</w:t>
      </w:r>
      <w:r w:rsidR="009E0369" w:rsidRPr="00F45370">
        <w:rPr>
          <w:rFonts w:ascii="gobCL" w:hAnsi="gobCL" w:cs="Arial"/>
          <w:b/>
          <w:color w:val="1F497D" w:themeColor="text2"/>
          <w:lang w:eastAsia="es-CL"/>
        </w:rPr>
        <w:t xml:space="preserve"> anualidad por año).</w:t>
      </w:r>
    </w:p>
    <w:p w:rsidR="00F45370" w:rsidRPr="00F45370" w:rsidRDefault="00F45370" w:rsidP="00F45370">
      <w:pPr>
        <w:spacing w:after="0" w:line="240" w:lineRule="auto"/>
        <w:jc w:val="both"/>
        <w:rPr>
          <w:rFonts w:ascii="gobCL" w:hAnsi="gobCL" w:cs="Arial"/>
          <w:b/>
          <w:color w:val="1F497D" w:themeColor="text2"/>
          <w:lang w:eastAsia="es-CL"/>
        </w:rPr>
      </w:pPr>
    </w:p>
    <w:p w:rsidR="00F45370" w:rsidRPr="00F45370" w:rsidRDefault="00F45370" w:rsidP="00852623">
      <w:pPr>
        <w:spacing w:after="0" w:line="240" w:lineRule="auto"/>
        <w:ind w:left="1068"/>
        <w:jc w:val="both"/>
        <w:rPr>
          <w:rFonts w:ascii="gobCL" w:hAnsi="gobCL" w:cs="Arial"/>
          <w:b/>
          <w:color w:val="1F497D" w:themeColor="text2"/>
          <w:lang w:eastAsia="es-CL"/>
        </w:rPr>
      </w:pPr>
      <w:r w:rsidRPr="00F45370">
        <w:rPr>
          <w:rFonts w:ascii="gobCL" w:hAnsi="gobCL" w:cs="Arial"/>
          <w:b/>
          <w:color w:val="1F497D" w:themeColor="text2"/>
          <w:lang w:eastAsia="es-CL"/>
        </w:rPr>
        <w:t>Recordar que las LTP B tienen una duración de 20 años, al cabo de los cuales se vuelven a licitar</w:t>
      </w:r>
      <w:r>
        <w:rPr>
          <w:rFonts w:ascii="gobCL" w:hAnsi="gobCL" w:cs="Arial"/>
          <w:b/>
          <w:color w:val="1F497D" w:themeColor="text2"/>
          <w:lang w:eastAsia="es-CL"/>
        </w:rPr>
        <w:t>, por igual periodo</w:t>
      </w:r>
      <w:r w:rsidRPr="00F45370">
        <w:rPr>
          <w:rFonts w:ascii="gobCL" w:hAnsi="gobCL" w:cs="Arial"/>
          <w:b/>
          <w:color w:val="1F497D" w:themeColor="text2"/>
          <w:lang w:eastAsia="es-CL"/>
        </w:rPr>
        <w:t>.</w:t>
      </w:r>
    </w:p>
    <w:p w:rsidR="009E0369" w:rsidRPr="00F45370" w:rsidRDefault="009E0369" w:rsidP="00F45370">
      <w:pPr>
        <w:spacing w:after="0" w:line="240" w:lineRule="auto"/>
        <w:jc w:val="both"/>
        <w:rPr>
          <w:rFonts w:ascii="gobCL" w:hAnsi="gobCL"/>
          <w:b/>
          <w:color w:val="1F497D" w:themeColor="text2"/>
        </w:rPr>
      </w:pPr>
    </w:p>
    <w:p w:rsidR="00177862" w:rsidRDefault="00177862" w:rsidP="00177862">
      <w:pPr>
        <w:pStyle w:val="Prrafodelista"/>
        <w:spacing w:after="0" w:line="240" w:lineRule="auto"/>
        <w:ind w:left="1428"/>
        <w:jc w:val="both"/>
        <w:rPr>
          <w:rFonts w:ascii="gobCL" w:hAnsi="gobCL" w:cs="Times New Roman"/>
          <w:b/>
          <w:color w:val="1F497D" w:themeColor="text2"/>
        </w:rPr>
      </w:pPr>
    </w:p>
    <w:p w:rsidR="00177862" w:rsidRDefault="00177862" w:rsidP="00177862">
      <w:pPr>
        <w:pStyle w:val="Prrafodelista"/>
        <w:spacing w:after="0" w:line="240" w:lineRule="auto"/>
        <w:ind w:left="1428"/>
        <w:jc w:val="both"/>
        <w:rPr>
          <w:rFonts w:ascii="gobCL" w:hAnsi="gobCL" w:cs="Times New Roman"/>
          <w:b/>
          <w:color w:val="1F497D" w:themeColor="text2"/>
        </w:rPr>
      </w:pPr>
    </w:p>
    <w:p w:rsidR="00177862" w:rsidRDefault="00177862" w:rsidP="00177862">
      <w:pPr>
        <w:pStyle w:val="Prrafodelista"/>
        <w:spacing w:after="0" w:line="240" w:lineRule="auto"/>
        <w:ind w:left="1428"/>
        <w:jc w:val="both"/>
        <w:rPr>
          <w:rFonts w:ascii="gobCL" w:hAnsi="gobCL" w:cs="Times New Roman"/>
          <w:b/>
          <w:color w:val="1F497D" w:themeColor="text2"/>
        </w:rPr>
      </w:pPr>
    </w:p>
    <w:p w:rsidR="00177862" w:rsidRPr="00177862" w:rsidRDefault="00177862" w:rsidP="00177862">
      <w:pPr>
        <w:pStyle w:val="Prrafodelista"/>
        <w:numPr>
          <w:ilvl w:val="0"/>
          <w:numId w:val="11"/>
        </w:numPr>
        <w:spacing w:after="0" w:line="240" w:lineRule="auto"/>
        <w:jc w:val="both"/>
        <w:rPr>
          <w:rFonts w:ascii="gobCL" w:hAnsi="gobCL" w:cs="Times New Roman"/>
          <w:b/>
          <w:color w:val="1F497D" w:themeColor="text2"/>
        </w:rPr>
      </w:pPr>
      <w:r w:rsidRPr="00177862">
        <w:rPr>
          <w:rFonts w:ascii="gobCL" w:hAnsi="gobCL" w:cs="Times New Roman"/>
          <w:b/>
          <w:color w:val="1F497D" w:themeColor="text2"/>
        </w:rPr>
        <w:t>Pago de Patente por embarcación artesanal artículo 50 D Ley de Pesca y Acuicultura.</w:t>
      </w:r>
    </w:p>
    <w:p w:rsidR="00177862" w:rsidRPr="00177862" w:rsidRDefault="00177862" w:rsidP="00177862">
      <w:pPr>
        <w:pStyle w:val="Prrafodelista"/>
        <w:spacing w:after="0" w:line="240" w:lineRule="auto"/>
        <w:ind w:left="1428"/>
        <w:jc w:val="both"/>
        <w:rPr>
          <w:rFonts w:ascii="gobCL" w:hAnsi="gobCL" w:cs="Times New Roman"/>
          <w:b/>
          <w:color w:val="1F497D" w:themeColor="text2"/>
        </w:rPr>
      </w:pPr>
    </w:p>
    <w:p w:rsidR="00316B7B" w:rsidRPr="00F45370" w:rsidRDefault="00390C0B" w:rsidP="00177862">
      <w:pPr>
        <w:spacing w:after="0" w:line="240" w:lineRule="auto"/>
        <w:ind w:left="1068"/>
        <w:jc w:val="both"/>
        <w:rPr>
          <w:rFonts w:ascii="gobCL" w:hAnsi="gobCL" w:cs="Times New Roman"/>
          <w:b/>
          <w:color w:val="1F497D" w:themeColor="text2"/>
        </w:rPr>
      </w:pPr>
      <w:r>
        <w:rPr>
          <w:rFonts w:ascii="gobCL" w:hAnsi="gobCL" w:cs="Times New Roman"/>
          <w:b/>
          <w:color w:val="1F497D" w:themeColor="text2"/>
        </w:rPr>
        <w:t>3.</w:t>
      </w:r>
      <w:r>
        <w:rPr>
          <w:rFonts w:ascii="gobCL" w:hAnsi="gobCL" w:cs="Times New Roman"/>
          <w:b/>
          <w:color w:val="1F497D" w:themeColor="text2"/>
        </w:rPr>
        <w:tab/>
        <w:t xml:space="preserve">Pago </w:t>
      </w:r>
      <w:r w:rsidR="00316B7B" w:rsidRPr="00F45370">
        <w:rPr>
          <w:rFonts w:ascii="gobCL" w:hAnsi="gobCL" w:cs="Times New Roman"/>
          <w:b/>
          <w:color w:val="1F497D" w:themeColor="text2"/>
        </w:rPr>
        <w:t>Patente por LTP clase B artículo 43 bis Ley de Pesca</w:t>
      </w:r>
      <w:r w:rsidR="00F45370" w:rsidRPr="00F45370">
        <w:rPr>
          <w:rFonts w:ascii="gobCL" w:hAnsi="gobCL" w:cs="Times New Roman"/>
          <w:b/>
          <w:color w:val="1F497D" w:themeColor="text2"/>
        </w:rPr>
        <w:t xml:space="preserve"> y Acuicultura</w:t>
      </w:r>
    </w:p>
    <w:p w:rsidR="00F45370" w:rsidRPr="00F45370" w:rsidRDefault="00F45370" w:rsidP="00F45370">
      <w:pPr>
        <w:spacing w:after="0" w:line="240" w:lineRule="auto"/>
        <w:jc w:val="both"/>
        <w:rPr>
          <w:rFonts w:ascii="gobCL" w:hAnsi="gobCL" w:cs="Times New Roman"/>
          <w:b/>
          <w:color w:val="1F497D" w:themeColor="text2"/>
        </w:rPr>
      </w:pPr>
    </w:p>
    <w:p w:rsidR="00F45370" w:rsidRPr="00F45370" w:rsidRDefault="00F45370" w:rsidP="00852623">
      <w:pPr>
        <w:spacing w:after="0" w:line="240" w:lineRule="auto"/>
        <w:ind w:left="360" w:firstLine="708"/>
        <w:jc w:val="both"/>
        <w:rPr>
          <w:rFonts w:ascii="gobCL" w:hAnsi="gobCL" w:cs="Times New Roman"/>
          <w:b/>
          <w:color w:val="1F497D" w:themeColor="text2"/>
        </w:rPr>
      </w:pPr>
      <w:bookmarkStart w:id="0" w:name="_GoBack"/>
      <w:bookmarkEnd w:id="0"/>
      <w:r w:rsidRPr="00F45370">
        <w:rPr>
          <w:rFonts w:ascii="gobCL" w:hAnsi="gobCL" w:cs="Times New Roman"/>
          <w:b/>
          <w:color w:val="1F497D" w:themeColor="text2"/>
        </w:rPr>
        <w:t>En los términos señalados en cada norma jurídica citada.</w:t>
      </w:r>
    </w:p>
    <w:p w:rsidR="00316B7B" w:rsidRPr="00F45370" w:rsidRDefault="00316B7B" w:rsidP="00F45370">
      <w:pPr>
        <w:spacing w:after="0" w:line="240" w:lineRule="auto"/>
        <w:jc w:val="both"/>
        <w:rPr>
          <w:rFonts w:ascii="gobCL" w:hAnsi="gobCL"/>
          <w:b/>
          <w:color w:val="1F497D" w:themeColor="text2"/>
        </w:rPr>
      </w:pPr>
    </w:p>
    <w:p w:rsidR="00A4725E" w:rsidRPr="00F45370" w:rsidRDefault="00A4725E" w:rsidP="00F45370">
      <w:pPr>
        <w:pStyle w:val="Textosinformato"/>
        <w:ind w:left="720"/>
        <w:jc w:val="both"/>
        <w:rPr>
          <w:rFonts w:ascii="gobCL" w:hAnsi="gobCL"/>
          <w:szCs w:val="22"/>
        </w:rPr>
      </w:pPr>
    </w:p>
    <w:p w:rsidR="00316B7B" w:rsidRPr="00F45370" w:rsidRDefault="00316B7B" w:rsidP="00F45370">
      <w:pPr>
        <w:pStyle w:val="Textosinformato"/>
        <w:ind w:left="720"/>
        <w:jc w:val="both"/>
        <w:rPr>
          <w:rFonts w:ascii="gobCL" w:hAnsi="gobCL"/>
          <w:szCs w:val="22"/>
        </w:rPr>
      </w:pPr>
    </w:p>
    <w:p w:rsidR="00316B7B" w:rsidRPr="00F45370" w:rsidRDefault="00316B7B" w:rsidP="00F45370">
      <w:pPr>
        <w:pStyle w:val="Textosinformato"/>
        <w:ind w:left="720"/>
        <w:jc w:val="both"/>
        <w:rPr>
          <w:rFonts w:ascii="gobCL" w:hAnsi="gobCL"/>
          <w:szCs w:val="22"/>
        </w:rPr>
      </w:pPr>
    </w:p>
    <w:p w:rsidR="00A4725E" w:rsidRPr="00F45370" w:rsidRDefault="00A4725E" w:rsidP="00F45370">
      <w:pPr>
        <w:pStyle w:val="Prrafodelista"/>
        <w:spacing w:after="240" w:line="240" w:lineRule="auto"/>
        <w:jc w:val="both"/>
        <w:rPr>
          <w:rFonts w:ascii="gobCL" w:eastAsia="Times New Roman" w:hAnsi="gobCL"/>
        </w:rPr>
      </w:pPr>
    </w:p>
    <w:p w:rsidR="006A2EC2" w:rsidRPr="00F45370" w:rsidRDefault="006A2EC2" w:rsidP="00F45370">
      <w:pPr>
        <w:spacing w:line="240" w:lineRule="auto"/>
        <w:jc w:val="both"/>
        <w:rPr>
          <w:rFonts w:ascii="gobCL" w:hAnsi="gobCL"/>
        </w:rPr>
      </w:pPr>
    </w:p>
    <w:p w:rsidR="00A62A13" w:rsidRPr="00F45370" w:rsidRDefault="00852623" w:rsidP="00F45370">
      <w:pPr>
        <w:spacing w:line="240" w:lineRule="auto"/>
        <w:jc w:val="both"/>
        <w:rPr>
          <w:rFonts w:ascii="gobCL" w:hAnsi="gobCL"/>
        </w:rPr>
      </w:pPr>
    </w:p>
    <w:sectPr w:rsidR="00A62A13" w:rsidRPr="00F45370" w:rsidSect="00F95816">
      <w:headerReference w:type="default" r:id="rId10"/>
      <w:footerReference w:type="default" r:id="rId11"/>
      <w:pgSz w:w="12240" w:h="18720" w:code="14"/>
      <w:pgMar w:top="851" w:right="1191" w:bottom="2552"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6D" w:rsidRDefault="0041176D">
      <w:pPr>
        <w:spacing w:after="0" w:line="240" w:lineRule="auto"/>
      </w:pPr>
      <w:r>
        <w:separator/>
      </w:r>
    </w:p>
  </w:endnote>
  <w:endnote w:type="continuationSeparator" w:id="0">
    <w:p w:rsidR="0041176D" w:rsidRDefault="0041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877090"/>
      <w:docPartObj>
        <w:docPartGallery w:val="Page Numbers (Bottom of Page)"/>
        <w:docPartUnique/>
      </w:docPartObj>
    </w:sdtPr>
    <w:sdtEndPr/>
    <w:sdtContent>
      <w:p w:rsidR="00385F45" w:rsidRDefault="00443FC2">
        <w:pPr>
          <w:pStyle w:val="Piedepgina"/>
          <w:jc w:val="right"/>
        </w:pPr>
        <w:r>
          <w:fldChar w:fldCharType="begin"/>
        </w:r>
        <w:r>
          <w:instrText>PAGE   \* MERGEFORMAT</w:instrText>
        </w:r>
        <w:r>
          <w:fldChar w:fldCharType="separate"/>
        </w:r>
        <w:r w:rsidR="00852623" w:rsidRPr="00852623">
          <w:rPr>
            <w:noProof/>
            <w:lang w:val="es-ES"/>
          </w:rPr>
          <w:t>6</w:t>
        </w:r>
        <w:r>
          <w:fldChar w:fldCharType="end"/>
        </w:r>
      </w:p>
    </w:sdtContent>
  </w:sdt>
  <w:p w:rsidR="00385F45" w:rsidRDefault="008526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6D" w:rsidRDefault="0041176D">
      <w:pPr>
        <w:spacing w:after="0" w:line="240" w:lineRule="auto"/>
      </w:pPr>
      <w:r>
        <w:separator/>
      </w:r>
    </w:p>
  </w:footnote>
  <w:footnote w:type="continuationSeparator" w:id="0">
    <w:p w:rsidR="0041176D" w:rsidRDefault="00411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C4" w:rsidRDefault="00443FC2">
    <w:pPr>
      <w:pStyle w:val="Encabezado"/>
    </w:pPr>
    <w:r>
      <w:rPr>
        <w:noProof/>
        <w:lang w:eastAsia="es-CL"/>
      </w:rPr>
      <w:drawing>
        <wp:anchor distT="0" distB="0" distL="114300" distR="114300" simplePos="0" relativeHeight="251659264" behindDoc="1" locked="0" layoutInCell="1" allowOverlap="1" wp14:anchorId="2411E93D" wp14:editId="5E2D8DB8">
          <wp:simplePos x="0" y="0"/>
          <wp:positionH relativeFrom="column">
            <wp:posOffset>-692785</wp:posOffset>
          </wp:positionH>
          <wp:positionV relativeFrom="paragraph">
            <wp:posOffset>-154305</wp:posOffset>
          </wp:positionV>
          <wp:extent cx="1654175" cy="1592580"/>
          <wp:effectExtent l="0" t="0" r="3175"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1592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131"/>
    <w:multiLevelType w:val="hybridMultilevel"/>
    <w:tmpl w:val="EFA659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1AD2C51"/>
    <w:multiLevelType w:val="hybridMultilevel"/>
    <w:tmpl w:val="99D29E10"/>
    <w:lvl w:ilvl="0" w:tplc="59F0D722">
      <w:start w:val="1"/>
      <w:numFmt w:val="lowerRoman"/>
      <w:lvlText w:val="%1)"/>
      <w:lvlJc w:val="left"/>
      <w:pPr>
        <w:ind w:left="1440" w:hanging="72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330629A9"/>
    <w:multiLevelType w:val="hybridMultilevel"/>
    <w:tmpl w:val="849E161A"/>
    <w:lvl w:ilvl="0" w:tplc="6D525E54">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
    <w:nsid w:val="38C50A68"/>
    <w:multiLevelType w:val="hybridMultilevel"/>
    <w:tmpl w:val="E910BDC4"/>
    <w:lvl w:ilvl="0" w:tplc="BC1C30BE">
      <w:start w:val="1"/>
      <w:numFmt w:val="decimal"/>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nsid w:val="4501045B"/>
    <w:multiLevelType w:val="hybridMultilevel"/>
    <w:tmpl w:val="95427872"/>
    <w:lvl w:ilvl="0" w:tplc="5D608288">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23B5B27"/>
    <w:multiLevelType w:val="hybridMultilevel"/>
    <w:tmpl w:val="DC6E1A22"/>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nsid w:val="5EC91955"/>
    <w:multiLevelType w:val="hybridMultilevel"/>
    <w:tmpl w:val="4EA8DB4A"/>
    <w:lvl w:ilvl="0" w:tplc="BC1C30BE">
      <w:start w:val="1"/>
      <w:numFmt w:val="decimal"/>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nsid w:val="61FE16F2"/>
    <w:multiLevelType w:val="hybridMultilevel"/>
    <w:tmpl w:val="E238146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A0C2AD8"/>
    <w:multiLevelType w:val="hybridMultilevel"/>
    <w:tmpl w:val="CCDEDD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B7B2712"/>
    <w:multiLevelType w:val="hybridMultilevel"/>
    <w:tmpl w:val="D0ACCE9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6E32192"/>
    <w:multiLevelType w:val="hybridMultilevel"/>
    <w:tmpl w:val="050CF7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BF82532"/>
    <w:multiLevelType w:val="hybridMultilevel"/>
    <w:tmpl w:val="E56037D2"/>
    <w:lvl w:ilvl="0" w:tplc="D1B4632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9"/>
  </w:num>
  <w:num w:numId="2">
    <w:abstractNumId w:val="7"/>
  </w:num>
  <w:num w:numId="3">
    <w:abstractNumId w:val="10"/>
  </w:num>
  <w:num w:numId="4">
    <w:abstractNumId w:val="1"/>
  </w:num>
  <w:num w:numId="5">
    <w:abstractNumId w:val="2"/>
  </w:num>
  <w:num w:numId="6">
    <w:abstractNumId w:val="0"/>
  </w:num>
  <w:num w:numId="7">
    <w:abstractNumId w:val="5"/>
  </w:num>
  <w:num w:numId="8">
    <w:abstractNumId w:val="8"/>
  </w:num>
  <w:num w:numId="9">
    <w:abstractNumId w:val="4"/>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C2"/>
    <w:rsid w:val="00050E76"/>
    <w:rsid w:val="00062076"/>
    <w:rsid w:val="0008011E"/>
    <w:rsid w:val="000D673F"/>
    <w:rsid w:val="00177862"/>
    <w:rsid w:val="0018150A"/>
    <w:rsid w:val="001A3D6D"/>
    <w:rsid w:val="001B6520"/>
    <w:rsid w:val="001C637A"/>
    <w:rsid w:val="002A7066"/>
    <w:rsid w:val="00316B7B"/>
    <w:rsid w:val="00390C0B"/>
    <w:rsid w:val="0041176D"/>
    <w:rsid w:val="00443FC2"/>
    <w:rsid w:val="00454F5B"/>
    <w:rsid w:val="00482284"/>
    <w:rsid w:val="00495625"/>
    <w:rsid w:val="0053584B"/>
    <w:rsid w:val="00541D03"/>
    <w:rsid w:val="005C0306"/>
    <w:rsid w:val="00651A96"/>
    <w:rsid w:val="00696867"/>
    <w:rsid w:val="006A2EC2"/>
    <w:rsid w:val="007D7DAF"/>
    <w:rsid w:val="007F504A"/>
    <w:rsid w:val="008040AF"/>
    <w:rsid w:val="00852623"/>
    <w:rsid w:val="0086567F"/>
    <w:rsid w:val="0089461B"/>
    <w:rsid w:val="008D68D0"/>
    <w:rsid w:val="009A6983"/>
    <w:rsid w:val="009E0369"/>
    <w:rsid w:val="00A4725E"/>
    <w:rsid w:val="00A51CD6"/>
    <w:rsid w:val="00AD72D6"/>
    <w:rsid w:val="00AE27EF"/>
    <w:rsid w:val="00B11A04"/>
    <w:rsid w:val="00C14170"/>
    <w:rsid w:val="00CE7C9A"/>
    <w:rsid w:val="00F026BF"/>
    <w:rsid w:val="00F45370"/>
    <w:rsid w:val="00F958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2E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EC2"/>
  </w:style>
  <w:style w:type="paragraph" w:styleId="Piedepgina">
    <w:name w:val="footer"/>
    <w:basedOn w:val="Normal"/>
    <w:link w:val="PiedepginaCar"/>
    <w:uiPriority w:val="99"/>
    <w:unhideWhenUsed/>
    <w:rsid w:val="006A2E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2EC2"/>
  </w:style>
  <w:style w:type="paragraph" w:styleId="Textosinformato">
    <w:name w:val="Plain Text"/>
    <w:basedOn w:val="Normal"/>
    <w:link w:val="TextosinformatoCar"/>
    <w:uiPriority w:val="99"/>
    <w:semiHidden/>
    <w:unhideWhenUsed/>
    <w:rsid w:val="006A2EC2"/>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6A2EC2"/>
    <w:rPr>
      <w:rFonts w:ascii="Calibri" w:hAnsi="Calibri"/>
      <w:szCs w:val="21"/>
    </w:rPr>
  </w:style>
  <w:style w:type="paragraph" w:styleId="Prrafodelista">
    <w:name w:val="List Paragraph"/>
    <w:basedOn w:val="Normal"/>
    <w:uiPriority w:val="34"/>
    <w:qFormat/>
    <w:rsid w:val="00482284"/>
    <w:pPr>
      <w:ind w:left="720"/>
      <w:contextualSpacing/>
    </w:pPr>
  </w:style>
  <w:style w:type="paragraph" w:styleId="Textodeglobo">
    <w:name w:val="Balloon Text"/>
    <w:basedOn w:val="Normal"/>
    <w:link w:val="TextodegloboCar"/>
    <w:uiPriority w:val="99"/>
    <w:semiHidden/>
    <w:unhideWhenUsed/>
    <w:rsid w:val="00651A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A96"/>
    <w:rPr>
      <w:rFonts w:ascii="Tahoma" w:hAnsi="Tahoma" w:cs="Tahoma"/>
      <w:sz w:val="16"/>
      <w:szCs w:val="16"/>
    </w:rPr>
  </w:style>
  <w:style w:type="character" w:styleId="Refdecomentario">
    <w:name w:val="annotation reference"/>
    <w:basedOn w:val="Fuentedeprrafopredeter"/>
    <w:uiPriority w:val="99"/>
    <w:semiHidden/>
    <w:unhideWhenUsed/>
    <w:rsid w:val="00062076"/>
    <w:rPr>
      <w:sz w:val="16"/>
      <w:szCs w:val="16"/>
    </w:rPr>
  </w:style>
  <w:style w:type="paragraph" w:styleId="Textocomentario">
    <w:name w:val="annotation text"/>
    <w:basedOn w:val="Normal"/>
    <w:link w:val="TextocomentarioCar"/>
    <w:uiPriority w:val="99"/>
    <w:semiHidden/>
    <w:unhideWhenUsed/>
    <w:rsid w:val="000620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2076"/>
    <w:rPr>
      <w:sz w:val="20"/>
      <w:szCs w:val="20"/>
    </w:rPr>
  </w:style>
  <w:style w:type="paragraph" w:styleId="Asuntodelcomentario">
    <w:name w:val="annotation subject"/>
    <w:basedOn w:val="Textocomentario"/>
    <w:next w:val="Textocomentario"/>
    <w:link w:val="AsuntodelcomentarioCar"/>
    <w:uiPriority w:val="99"/>
    <w:semiHidden/>
    <w:unhideWhenUsed/>
    <w:rsid w:val="00062076"/>
    <w:rPr>
      <w:b/>
      <w:bCs/>
    </w:rPr>
  </w:style>
  <w:style w:type="character" w:customStyle="1" w:styleId="AsuntodelcomentarioCar">
    <w:name w:val="Asunto del comentario Car"/>
    <w:basedOn w:val="TextocomentarioCar"/>
    <w:link w:val="Asuntodelcomentario"/>
    <w:uiPriority w:val="99"/>
    <w:semiHidden/>
    <w:rsid w:val="00062076"/>
    <w:rPr>
      <w:b/>
      <w:bCs/>
      <w:sz w:val="20"/>
      <w:szCs w:val="20"/>
    </w:rPr>
  </w:style>
  <w:style w:type="paragraph" w:styleId="Revisin">
    <w:name w:val="Revision"/>
    <w:hidden/>
    <w:uiPriority w:val="99"/>
    <w:semiHidden/>
    <w:rsid w:val="001778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2E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EC2"/>
  </w:style>
  <w:style w:type="paragraph" w:styleId="Piedepgina">
    <w:name w:val="footer"/>
    <w:basedOn w:val="Normal"/>
    <w:link w:val="PiedepginaCar"/>
    <w:uiPriority w:val="99"/>
    <w:unhideWhenUsed/>
    <w:rsid w:val="006A2E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2EC2"/>
  </w:style>
  <w:style w:type="paragraph" w:styleId="Textosinformato">
    <w:name w:val="Plain Text"/>
    <w:basedOn w:val="Normal"/>
    <w:link w:val="TextosinformatoCar"/>
    <w:uiPriority w:val="99"/>
    <w:semiHidden/>
    <w:unhideWhenUsed/>
    <w:rsid w:val="006A2EC2"/>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6A2EC2"/>
    <w:rPr>
      <w:rFonts w:ascii="Calibri" w:hAnsi="Calibri"/>
      <w:szCs w:val="21"/>
    </w:rPr>
  </w:style>
  <w:style w:type="paragraph" w:styleId="Prrafodelista">
    <w:name w:val="List Paragraph"/>
    <w:basedOn w:val="Normal"/>
    <w:uiPriority w:val="34"/>
    <w:qFormat/>
    <w:rsid w:val="00482284"/>
    <w:pPr>
      <w:ind w:left="720"/>
      <w:contextualSpacing/>
    </w:pPr>
  </w:style>
  <w:style w:type="paragraph" w:styleId="Textodeglobo">
    <w:name w:val="Balloon Text"/>
    <w:basedOn w:val="Normal"/>
    <w:link w:val="TextodegloboCar"/>
    <w:uiPriority w:val="99"/>
    <w:semiHidden/>
    <w:unhideWhenUsed/>
    <w:rsid w:val="00651A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A96"/>
    <w:rPr>
      <w:rFonts w:ascii="Tahoma" w:hAnsi="Tahoma" w:cs="Tahoma"/>
      <w:sz w:val="16"/>
      <w:szCs w:val="16"/>
    </w:rPr>
  </w:style>
  <w:style w:type="character" w:styleId="Refdecomentario">
    <w:name w:val="annotation reference"/>
    <w:basedOn w:val="Fuentedeprrafopredeter"/>
    <w:uiPriority w:val="99"/>
    <w:semiHidden/>
    <w:unhideWhenUsed/>
    <w:rsid w:val="00062076"/>
    <w:rPr>
      <w:sz w:val="16"/>
      <w:szCs w:val="16"/>
    </w:rPr>
  </w:style>
  <w:style w:type="paragraph" w:styleId="Textocomentario">
    <w:name w:val="annotation text"/>
    <w:basedOn w:val="Normal"/>
    <w:link w:val="TextocomentarioCar"/>
    <w:uiPriority w:val="99"/>
    <w:semiHidden/>
    <w:unhideWhenUsed/>
    <w:rsid w:val="000620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2076"/>
    <w:rPr>
      <w:sz w:val="20"/>
      <w:szCs w:val="20"/>
    </w:rPr>
  </w:style>
  <w:style w:type="paragraph" w:styleId="Asuntodelcomentario">
    <w:name w:val="annotation subject"/>
    <w:basedOn w:val="Textocomentario"/>
    <w:next w:val="Textocomentario"/>
    <w:link w:val="AsuntodelcomentarioCar"/>
    <w:uiPriority w:val="99"/>
    <w:semiHidden/>
    <w:unhideWhenUsed/>
    <w:rsid w:val="00062076"/>
    <w:rPr>
      <w:b/>
      <w:bCs/>
    </w:rPr>
  </w:style>
  <w:style w:type="character" w:customStyle="1" w:styleId="AsuntodelcomentarioCar">
    <w:name w:val="Asunto del comentario Car"/>
    <w:basedOn w:val="TextocomentarioCar"/>
    <w:link w:val="Asuntodelcomentario"/>
    <w:uiPriority w:val="99"/>
    <w:semiHidden/>
    <w:rsid w:val="00062076"/>
    <w:rPr>
      <w:b/>
      <w:bCs/>
      <w:sz w:val="20"/>
      <w:szCs w:val="20"/>
    </w:rPr>
  </w:style>
  <w:style w:type="paragraph" w:styleId="Revisin">
    <w:name w:val="Revision"/>
    <w:hidden/>
    <w:uiPriority w:val="99"/>
    <w:semiHidden/>
    <w:rsid w:val="00177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65747">
      <w:bodyDiv w:val="1"/>
      <w:marLeft w:val="0"/>
      <w:marRight w:val="0"/>
      <w:marTop w:val="0"/>
      <w:marBottom w:val="0"/>
      <w:divBdr>
        <w:top w:val="none" w:sz="0" w:space="0" w:color="auto"/>
        <w:left w:val="none" w:sz="0" w:space="0" w:color="auto"/>
        <w:bottom w:val="none" w:sz="0" w:space="0" w:color="auto"/>
        <w:right w:val="none" w:sz="0" w:space="0" w:color="auto"/>
      </w:divBdr>
    </w:div>
    <w:div w:id="532572796">
      <w:bodyDiv w:val="1"/>
      <w:marLeft w:val="0"/>
      <w:marRight w:val="0"/>
      <w:marTop w:val="0"/>
      <w:marBottom w:val="0"/>
      <w:divBdr>
        <w:top w:val="none" w:sz="0" w:space="0" w:color="auto"/>
        <w:left w:val="none" w:sz="0" w:space="0" w:color="auto"/>
        <w:bottom w:val="none" w:sz="0" w:space="0" w:color="auto"/>
        <w:right w:val="none" w:sz="0" w:space="0" w:color="auto"/>
      </w:divBdr>
    </w:div>
    <w:div w:id="1024939783">
      <w:bodyDiv w:val="1"/>
      <w:marLeft w:val="0"/>
      <w:marRight w:val="0"/>
      <w:marTop w:val="0"/>
      <w:marBottom w:val="0"/>
      <w:divBdr>
        <w:top w:val="none" w:sz="0" w:space="0" w:color="auto"/>
        <w:left w:val="none" w:sz="0" w:space="0" w:color="auto"/>
        <w:bottom w:val="none" w:sz="0" w:space="0" w:color="auto"/>
        <w:right w:val="none" w:sz="0" w:space="0" w:color="auto"/>
      </w:divBdr>
    </w:div>
    <w:div w:id="1217089618">
      <w:bodyDiv w:val="1"/>
      <w:marLeft w:val="0"/>
      <w:marRight w:val="0"/>
      <w:marTop w:val="0"/>
      <w:marBottom w:val="0"/>
      <w:divBdr>
        <w:top w:val="none" w:sz="0" w:space="0" w:color="auto"/>
        <w:left w:val="none" w:sz="0" w:space="0" w:color="auto"/>
        <w:bottom w:val="none" w:sz="0" w:space="0" w:color="auto"/>
        <w:right w:val="none" w:sz="0" w:space="0" w:color="auto"/>
      </w:divBdr>
    </w:div>
    <w:div w:id="15420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bastapublica@subpesc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D865-6138-4B6E-8D44-C7B534DE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1600</Words>
  <Characters>8802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Francisco Ortiz</cp:lastModifiedBy>
  <cp:revision>7</cp:revision>
  <cp:lastPrinted>2017-12-01T15:15:00Z</cp:lastPrinted>
  <dcterms:created xsi:type="dcterms:W3CDTF">2017-12-01T15:15:00Z</dcterms:created>
  <dcterms:modified xsi:type="dcterms:W3CDTF">2017-12-01T15:20:00Z</dcterms:modified>
</cp:coreProperties>
</file>