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547" w:rsidRPr="00E04547" w:rsidRDefault="00E04547" w:rsidP="00294386">
      <w:pPr>
        <w:jc w:val="both"/>
        <w:rPr>
          <w:rFonts w:ascii="gobCL" w:eastAsia="Calibri" w:hAnsi="gobCL"/>
          <w:color w:val="1F497D" w:themeColor="text2"/>
          <w:lang w:val="es-ES" w:eastAsia="es-ES"/>
        </w:rPr>
      </w:pPr>
    </w:p>
    <w:p w:rsidR="00E04547" w:rsidRPr="00E04547" w:rsidRDefault="00E04547" w:rsidP="00294386">
      <w:pPr>
        <w:jc w:val="both"/>
        <w:rPr>
          <w:rFonts w:ascii="gobCL" w:hAnsi="gobCL" w:cstheme="minorBidi"/>
          <w:b/>
        </w:rPr>
      </w:pPr>
      <w:r w:rsidRPr="00E04547">
        <w:rPr>
          <w:rFonts w:ascii="gobCL" w:hAnsi="gobCL" w:cstheme="minorBidi"/>
          <w:b/>
        </w:rPr>
        <w:t xml:space="preserve">Aclaraciones a las bases dirigidas al correo electrónico </w:t>
      </w:r>
      <w:hyperlink r:id="rId8" w:history="1">
        <w:r w:rsidRPr="00E04547">
          <w:rPr>
            <w:rFonts w:ascii="gobCL" w:hAnsi="gobCL" w:cstheme="minorBidi"/>
            <w:b/>
          </w:rPr>
          <w:t>subastapublica@subpesca.cl</w:t>
        </w:r>
      </w:hyperlink>
      <w:r w:rsidRPr="00E04547">
        <w:rPr>
          <w:rFonts w:ascii="gobCL" w:hAnsi="gobCL" w:cstheme="minorBidi"/>
          <w:b/>
        </w:rPr>
        <w:t xml:space="preserve"> a la fecha de 0</w:t>
      </w:r>
      <w:r w:rsidR="00A3228E">
        <w:rPr>
          <w:rFonts w:ascii="gobCL" w:hAnsi="gobCL" w:cstheme="minorBidi"/>
          <w:b/>
        </w:rPr>
        <w:t>5</w:t>
      </w:r>
      <w:r w:rsidRPr="00E04547">
        <w:rPr>
          <w:rFonts w:ascii="gobCL" w:hAnsi="gobCL" w:cstheme="minorBidi"/>
          <w:b/>
        </w:rPr>
        <w:t xml:space="preserve"> de diciembre de 2016, según el orden de llegada y dentro del plazo de 72 horas.</w:t>
      </w:r>
    </w:p>
    <w:p w:rsidR="00E04547" w:rsidRPr="00E04547" w:rsidRDefault="00E04547" w:rsidP="00294386">
      <w:pPr>
        <w:jc w:val="both"/>
        <w:rPr>
          <w:rFonts w:ascii="gobCL" w:eastAsia="Calibri" w:hAnsi="gobCL"/>
          <w:color w:val="1F497D" w:themeColor="text2"/>
          <w:sz w:val="22"/>
          <w:szCs w:val="22"/>
          <w:lang w:val="es-ES" w:eastAsia="es-ES"/>
        </w:rPr>
      </w:pPr>
    </w:p>
    <w:p w:rsidR="00E04547" w:rsidRDefault="00E04547" w:rsidP="002F57AE">
      <w:pPr>
        <w:jc w:val="both"/>
        <w:rPr>
          <w:rFonts w:ascii="gobCL" w:hAnsi="gobCL"/>
          <w:b/>
          <w:color w:val="1F497D" w:themeColor="text2"/>
          <w:sz w:val="22"/>
          <w:szCs w:val="22"/>
        </w:rPr>
      </w:pPr>
      <w:r w:rsidRPr="00E04547">
        <w:rPr>
          <w:rFonts w:ascii="gobCL" w:eastAsia="Calibri" w:hAnsi="gobCL"/>
          <w:b/>
          <w:color w:val="1F497D" w:themeColor="text2"/>
          <w:sz w:val="22"/>
          <w:szCs w:val="22"/>
          <w:lang w:val="es-ES" w:eastAsia="es-ES"/>
        </w:rPr>
        <w:t>4)</w:t>
      </w:r>
      <w:r w:rsidRPr="00E04547">
        <w:rPr>
          <w:rFonts w:ascii="gobCL" w:hAnsi="gobCL"/>
          <w:b/>
          <w:color w:val="1F497D" w:themeColor="text2"/>
          <w:sz w:val="22"/>
          <w:szCs w:val="22"/>
        </w:rPr>
        <w:t xml:space="preserve"> Agradeceremos informar si los precios por tonelada pagados en la subasta de LTP Clase B, por lotes adjudicados a pescadores artesanales y/o empresas que califiquen de menor tamaño inciden, y de qué manera lo harían, en el cálculo del impuesto específico del Artículo 43 ter de la LGPA.</w:t>
      </w:r>
    </w:p>
    <w:p w:rsidR="00AA7557" w:rsidRPr="00E04547" w:rsidRDefault="00AA7557" w:rsidP="00294386">
      <w:pPr>
        <w:jc w:val="both"/>
        <w:rPr>
          <w:rFonts w:ascii="gobCL" w:hAnsi="gobCL"/>
          <w:b/>
          <w:color w:val="1F497D" w:themeColor="text2"/>
          <w:sz w:val="22"/>
          <w:szCs w:val="22"/>
        </w:rPr>
      </w:pPr>
    </w:p>
    <w:p w:rsidR="00E04547" w:rsidRPr="007F2F23" w:rsidRDefault="00E04547" w:rsidP="00294386">
      <w:pPr>
        <w:jc w:val="both"/>
        <w:rPr>
          <w:rFonts w:ascii="gobCL" w:eastAsia="Calibri" w:hAnsi="gobCL"/>
          <w:sz w:val="22"/>
          <w:szCs w:val="22"/>
          <w:lang w:eastAsia="es-ES"/>
        </w:rPr>
      </w:pPr>
      <w:r w:rsidRPr="007F2F23">
        <w:rPr>
          <w:rFonts w:ascii="gobCL" w:eastAsia="Calibri" w:hAnsi="gobCL"/>
          <w:sz w:val="22"/>
          <w:szCs w:val="22"/>
          <w:lang w:eastAsia="es-ES"/>
        </w:rPr>
        <w:t>Efectivamente según el polinomio establecido en la letra b) del artículo 43 ter de la Ley General de Pesca y Acuicultura</w:t>
      </w:r>
      <w:r w:rsidR="00AA7557" w:rsidRPr="007F2F23">
        <w:rPr>
          <w:rFonts w:ascii="gobCL" w:eastAsia="Calibri" w:hAnsi="gobCL"/>
          <w:sz w:val="22"/>
          <w:szCs w:val="22"/>
          <w:lang w:eastAsia="es-ES"/>
        </w:rPr>
        <w:t xml:space="preserve">, el factor </w:t>
      </w:r>
      <w:proofErr w:type="spellStart"/>
      <w:r w:rsidR="00AA7557" w:rsidRPr="007F2F23">
        <w:rPr>
          <w:rFonts w:ascii="gobCL" w:eastAsia="Calibri" w:hAnsi="gobCL"/>
          <w:sz w:val="22"/>
          <w:szCs w:val="22"/>
          <w:lang w:eastAsia="es-ES"/>
        </w:rPr>
        <w:t>Pl</w:t>
      </w:r>
      <w:proofErr w:type="spellEnd"/>
      <w:r w:rsidR="00AA7557" w:rsidRPr="007F2F23">
        <w:rPr>
          <w:rFonts w:ascii="gobCL" w:eastAsia="Calibri" w:hAnsi="gobCL"/>
          <w:sz w:val="22"/>
          <w:szCs w:val="22"/>
          <w:lang w:eastAsia="es-ES"/>
        </w:rPr>
        <w:t xml:space="preserve"> es el indicado, así señala la norma que</w:t>
      </w:r>
      <w:r w:rsidR="00AA4C41" w:rsidRPr="007F2F23">
        <w:rPr>
          <w:rFonts w:ascii="gobCL" w:eastAsia="Calibri" w:hAnsi="gobCL"/>
          <w:sz w:val="22"/>
          <w:szCs w:val="22"/>
          <w:lang w:eastAsia="es-ES"/>
        </w:rPr>
        <w:t xml:space="preserve"> este</w:t>
      </w:r>
      <w:r w:rsidR="00AA7557" w:rsidRPr="007F2F23">
        <w:rPr>
          <w:rFonts w:ascii="gobCL" w:eastAsia="Calibri" w:hAnsi="gobCL"/>
          <w:sz w:val="22"/>
          <w:szCs w:val="22"/>
          <w:lang w:eastAsia="es-ES"/>
        </w:rPr>
        <w:t xml:space="preserve"> </w:t>
      </w:r>
      <w:r w:rsidR="00DB2B67" w:rsidRPr="007F2F23">
        <w:rPr>
          <w:rFonts w:ascii="gobCL" w:eastAsia="Calibri" w:hAnsi="gobCL"/>
          <w:sz w:val="22"/>
          <w:szCs w:val="22"/>
          <w:lang w:eastAsia="es-ES"/>
        </w:rPr>
        <w:t>“</w:t>
      </w:r>
      <w:r w:rsidR="00AA7557" w:rsidRPr="007F2F23">
        <w:rPr>
          <w:rFonts w:ascii="gobCL" w:eastAsia="Calibri" w:hAnsi="gobCL"/>
          <w:i/>
          <w:sz w:val="22"/>
          <w:szCs w:val="22"/>
          <w:lang w:eastAsia="es-ES"/>
        </w:rPr>
        <w:t>es el pr</w:t>
      </w:r>
      <w:r w:rsidR="00DB2B67" w:rsidRPr="007F2F23">
        <w:rPr>
          <w:rFonts w:ascii="gobCL" w:eastAsia="Calibri" w:hAnsi="gobCL"/>
          <w:i/>
          <w:sz w:val="22"/>
          <w:szCs w:val="22"/>
          <w:lang w:eastAsia="es-ES"/>
        </w:rPr>
        <w:t>omedio ponderado</w:t>
      </w:r>
      <w:r w:rsidR="00AA7557" w:rsidRPr="007F2F23">
        <w:rPr>
          <w:rFonts w:ascii="gobCL" w:eastAsia="Calibri" w:hAnsi="gobCL"/>
          <w:i/>
          <w:sz w:val="22"/>
          <w:szCs w:val="22"/>
          <w:lang w:eastAsia="es-ES"/>
        </w:rPr>
        <w:t xml:space="preserve"> por </w:t>
      </w:r>
      <w:r w:rsidR="00DB2B67" w:rsidRPr="007F2F23">
        <w:rPr>
          <w:rFonts w:ascii="gobCL" w:eastAsia="Calibri" w:hAnsi="gobCL"/>
          <w:i/>
          <w:sz w:val="22"/>
          <w:szCs w:val="22"/>
          <w:lang w:eastAsia="es-ES"/>
        </w:rPr>
        <w:t>toneladas</w:t>
      </w:r>
      <w:r w:rsidR="00AA7557" w:rsidRPr="007F2F23">
        <w:rPr>
          <w:rFonts w:ascii="gobCL" w:eastAsia="Calibri" w:hAnsi="gobCL"/>
          <w:i/>
          <w:sz w:val="22"/>
          <w:szCs w:val="22"/>
          <w:lang w:eastAsia="es-ES"/>
        </w:rPr>
        <w:t xml:space="preserve"> de los valores de </w:t>
      </w:r>
      <w:r w:rsidR="00DB2B67" w:rsidRPr="007F2F23">
        <w:rPr>
          <w:rFonts w:ascii="gobCL" w:eastAsia="Calibri" w:hAnsi="gobCL"/>
          <w:i/>
          <w:sz w:val="22"/>
          <w:szCs w:val="22"/>
          <w:lang w:eastAsia="es-ES"/>
        </w:rPr>
        <w:t>adjudicación</w:t>
      </w:r>
      <w:r w:rsidR="00AA7557" w:rsidRPr="007F2F23">
        <w:rPr>
          <w:rFonts w:ascii="gobCL" w:eastAsia="Calibri" w:hAnsi="gobCL"/>
          <w:i/>
          <w:sz w:val="22"/>
          <w:szCs w:val="22"/>
          <w:lang w:eastAsia="es-ES"/>
        </w:rPr>
        <w:t xml:space="preserve"> de subasta de licencia</w:t>
      </w:r>
      <w:r w:rsidR="00A3228E" w:rsidRPr="007F2F23">
        <w:rPr>
          <w:rFonts w:ascii="gobCL" w:eastAsia="Calibri" w:hAnsi="gobCL"/>
          <w:i/>
          <w:sz w:val="22"/>
          <w:szCs w:val="22"/>
          <w:lang w:eastAsia="es-ES"/>
        </w:rPr>
        <w:t>s</w:t>
      </w:r>
      <w:r w:rsidR="00AA7557" w:rsidRPr="007F2F23">
        <w:rPr>
          <w:rFonts w:ascii="gobCL" w:eastAsia="Calibri" w:hAnsi="gobCL"/>
          <w:i/>
          <w:sz w:val="22"/>
          <w:szCs w:val="22"/>
          <w:lang w:eastAsia="es-ES"/>
        </w:rPr>
        <w:t xml:space="preserve"> </w:t>
      </w:r>
      <w:r w:rsidR="00DB2B67" w:rsidRPr="007F2F23">
        <w:rPr>
          <w:rFonts w:ascii="gobCL" w:eastAsia="Calibri" w:hAnsi="gobCL"/>
          <w:i/>
          <w:sz w:val="22"/>
          <w:szCs w:val="22"/>
          <w:lang w:eastAsia="es-ES"/>
        </w:rPr>
        <w:t>clase B</w:t>
      </w:r>
      <w:r w:rsidR="00AA4C41" w:rsidRPr="007F2F23">
        <w:rPr>
          <w:rFonts w:ascii="gobCL" w:eastAsia="Calibri" w:hAnsi="gobCL"/>
          <w:i/>
          <w:sz w:val="22"/>
          <w:szCs w:val="22"/>
          <w:lang w:eastAsia="es-ES"/>
        </w:rPr>
        <w:t xml:space="preserve"> y de los precios anualizados de las enajenaciones, arriendos o cualquier acto entre par</w:t>
      </w:r>
      <w:r w:rsidR="00A3228E" w:rsidRPr="007F2F23">
        <w:rPr>
          <w:rFonts w:ascii="gobCL" w:eastAsia="Calibri" w:hAnsi="gobCL"/>
          <w:i/>
          <w:sz w:val="22"/>
          <w:szCs w:val="22"/>
          <w:lang w:eastAsia="es-ES"/>
        </w:rPr>
        <w:t xml:space="preserve">tes no relacionadas de acuerdo </w:t>
      </w:r>
      <w:r w:rsidR="00AA4C41" w:rsidRPr="007F2F23">
        <w:rPr>
          <w:rFonts w:ascii="gobCL" w:eastAsia="Calibri" w:hAnsi="gobCL"/>
          <w:i/>
          <w:sz w:val="22"/>
          <w:szCs w:val="22"/>
          <w:lang w:eastAsia="es-ES"/>
        </w:rPr>
        <w:t>a lo dispuesto en el artículo 100 de la Ley N° 18.045, de Mercado de Valores, que implique la cesión de derechos de las lice</w:t>
      </w:r>
      <w:r w:rsidR="00A3228E" w:rsidRPr="007F2F23">
        <w:rPr>
          <w:rFonts w:ascii="gobCL" w:eastAsia="Calibri" w:hAnsi="gobCL"/>
          <w:i/>
          <w:sz w:val="22"/>
          <w:szCs w:val="22"/>
          <w:lang w:eastAsia="es-ES"/>
        </w:rPr>
        <w:t>ncias clase A y B, de acuerdo a</w:t>
      </w:r>
      <w:r w:rsidR="00AA4C41" w:rsidRPr="007F2F23">
        <w:rPr>
          <w:rFonts w:ascii="gobCL" w:eastAsia="Calibri" w:hAnsi="gobCL"/>
          <w:i/>
          <w:sz w:val="22"/>
          <w:szCs w:val="22"/>
          <w:lang w:eastAsia="es-ES"/>
        </w:rPr>
        <w:t>l Registro a que hace referencia del artículo 30, ocurridas durante el año anterior al del cálculo de la patente</w:t>
      </w:r>
      <w:r w:rsidR="00DB2B67" w:rsidRPr="007F2F23">
        <w:rPr>
          <w:rFonts w:ascii="gobCL" w:eastAsia="Calibri" w:hAnsi="gobCL"/>
          <w:sz w:val="22"/>
          <w:szCs w:val="22"/>
          <w:lang w:eastAsia="es-ES"/>
        </w:rPr>
        <w:t xml:space="preserve">...”. </w:t>
      </w:r>
    </w:p>
    <w:p w:rsidR="00E04547" w:rsidRPr="00A3228E" w:rsidRDefault="00E04547" w:rsidP="00294386">
      <w:pPr>
        <w:jc w:val="both"/>
        <w:rPr>
          <w:rFonts w:ascii="gobCL" w:eastAsia="Calibri" w:hAnsi="gobCL"/>
          <w:b/>
          <w:color w:val="1F497D" w:themeColor="text2"/>
          <w:sz w:val="22"/>
          <w:szCs w:val="22"/>
          <w:lang w:val="es-ES" w:eastAsia="es-ES"/>
        </w:rPr>
      </w:pPr>
    </w:p>
    <w:p w:rsidR="00E0006D" w:rsidRPr="00A3228E" w:rsidRDefault="00E04547" w:rsidP="00294386">
      <w:pPr>
        <w:jc w:val="both"/>
        <w:rPr>
          <w:rFonts w:ascii="gobCL" w:eastAsia="Times New Roman" w:hAnsi="gobCL" w:cs="Helvetica"/>
          <w:b/>
          <w:color w:val="1F497D" w:themeColor="text2"/>
          <w:sz w:val="22"/>
          <w:szCs w:val="22"/>
        </w:rPr>
      </w:pPr>
      <w:r w:rsidRPr="00A3228E">
        <w:rPr>
          <w:rFonts w:ascii="gobCL" w:eastAsia="Calibri" w:hAnsi="gobCL"/>
          <w:b/>
          <w:color w:val="1F497D" w:themeColor="text2"/>
          <w:sz w:val="22"/>
          <w:szCs w:val="22"/>
          <w:lang w:val="es-ES" w:eastAsia="es-ES"/>
        </w:rPr>
        <w:t xml:space="preserve">5) </w:t>
      </w:r>
      <w:r w:rsidR="00705322" w:rsidRPr="00A3228E">
        <w:rPr>
          <w:rFonts w:ascii="gobCL" w:eastAsia="Times New Roman" w:hAnsi="gobCL" w:cs="Helvetica"/>
          <w:b/>
          <w:color w:val="1F497D" w:themeColor="text2"/>
          <w:sz w:val="22"/>
          <w:szCs w:val="22"/>
        </w:rPr>
        <w:t>P</w:t>
      </w:r>
      <w:r w:rsidRPr="00A3228E">
        <w:rPr>
          <w:rFonts w:ascii="gobCL" w:eastAsia="Times New Roman" w:hAnsi="gobCL" w:cs="Helvetica"/>
          <w:b/>
          <w:color w:val="1F497D" w:themeColor="text2"/>
          <w:sz w:val="22"/>
          <w:szCs w:val="22"/>
        </w:rPr>
        <w:t>reguntas a las bases de la subasta del bacalao de profundidad son las siguientes:</w:t>
      </w:r>
    </w:p>
    <w:p w:rsidR="00E04547" w:rsidRPr="00A3228E" w:rsidRDefault="00E04547" w:rsidP="00294386">
      <w:pPr>
        <w:jc w:val="both"/>
        <w:rPr>
          <w:rFonts w:ascii="gobCL" w:eastAsia="Times New Roman" w:hAnsi="gobCL" w:cs="Helvetica"/>
          <w:b/>
          <w:color w:val="1F497D" w:themeColor="text2"/>
          <w:sz w:val="22"/>
          <w:szCs w:val="22"/>
        </w:rPr>
      </w:pPr>
    </w:p>
    <w:p w:rsidR="00E0006D" w:rsidRPr="00A15DFB" w:rsidRDefault="00E0006D" w:rsidP="00A15DFB">
      <w:pPr>
        <w:pStyle w:val="Prrafodelista"/>
        <w:numPr>
          <w:ilvl w:val="0"/>
          <w:numId w:val="7"/>
        </w:numPr>
        <w:jc w:val="both"/>
        <w:rPr>
          <w:rFonts w:ascii="gobCL" w:eastAsia="Calibri" w:hAnsi="gobCL"/>
          <w:sz w:val="22"/>
          <w:szCs w:val="22"/>
          <w:lang w:val="es-ES" w:eastAsia="es-ES"/>
        </w:rPr>
      </w:pPr>
      <w:r w:rsidRPr="00A15DFB">
        <w:rPr>
          <w:rFonts w:ascii="gobCL" w:eastAsia="Calibri" w:hAnsi="gobCL"/>
          <w:b/>
          <w:color w:val="1F497D" w:themeColor="text2"/>
          <w:sz w:val="22"/>
          <w:szCs w:val="22"/>
          <w:lang w:val="es-ES" w:eastAsia="es-ES"/>
        </w:rPr>
        <w:t>Es necesario que las personas que participarán en la subasta del sector artesanal, acrediten en los antecedentes administrativos, tener autorizado el recurso bacalao de profundidad, tanto en su RPA personal como en el RPA de la embarcación que harán efectivo el permiso extraordinario de pesca</w:t>
      </w:r>
      <w:proofErr w:type="gramStart"/>
      <w:r w:rsidRPr="00A15DFB">
        <w:rPr>
          <w:rFonts w:ascii="gobCL" w:eastAsia="Calibri" w:hAnsi="gobCL"/>
          <w:sz w:val="22"/>
          <w:szCs w:val="22"/>
          <w:lang w:val="es-ES" w:eastAsia="es-ES"/>
        </w:rPr>
        <w:t>?</w:t>
      </w:r>
      <w:proofErr w:type="gramEnd"/>
    </w:p>
    <w:p w:rsidR="00E0006D" w:rsidRPr="00E0006D" w:rsidRDefault="00E0006D" w:rsidP="00294386">
      <w:pPr>
        <w:ind w:left="720"/>
        <w:jc w:val="both"/>
        <w:rPr>
          <w:rFonts w:ascii="gobCL" w:eastAsia="Calibri" w:hAnsi="gobCL"/>
          <w:sz w:val="22"/>
          <w:szCs w:val="22"/>
          <w:lang w:val="es-ES" w:eastAsia="es-ES"/>
        </w:rPr>
      </w:pPr>
    </w:p>
    <w:p w:rsidR="00E0006D" w:rsidRPr="00E0006D" w:rsidRDefault="00E0006D" w:rsidP="002F57AE">
      <w:pPr>
        <w:jc w:val="both"/>
        <w:rPr>
          <w:rFonts w:ascii="gobCL" w:eastAsia="Calibri" w:hAnsi="gobCL"/>
          <w:sz w:val="22"/>
          <w:szCs w:val="22"/>
          <w:lang w:val="es-ES" w:eastAsia="es-ES"/>
        </w:rPr>
      </w:pPr>
      <w:r w:rsidRPr="00E0006D">
        <w:rPr>
          <w:rFonts w:ascii="gobCL" w:eastAsia="Calibri" w:hAnsi="gobCL"/>
          <w:sz w:val="22"/>
          <w:szCs w:val="22"/>
          <w:lang w:val="es-ES" w:eastAsia="es-ES"/>
        </w:rPr>
        <w:t xml:space="preserve">En efecto, la Ley General de Pesca y Acuicultura, en su Artículo décimo quinto transitorio, inciso cuarto, se refiere a </w:t>
      </w:r>
      <w:r w:rsidRPr="00E0006D">
        <w:rPr>
          <w:rFonts w:ascii="gobCL" w:eastAsia="Calibri" w:hAnsi="gobCL"/>
          <w:b/>
          <w:sz w:val="22"/>
          <w:szCs w:val="22"/>
          <w:lang w:val="es-ES" w:eastAsia="es-ES"/>
        </w:rPr>
        <w:t>“armadores” que cuenten con inscripción vigente en el Registro Pesquero Artesanal</w:t>
      </w:r>
      <w:r w:rsidRPr="00E0006D">
        <w:rPr>
          <w:rFonts w:ascii="gobCL" w:eastAsia="Calibri" w:hAnsi="gobCL"/>
          <w:sz w:val="22"/>
          <w:szCs w:val="22"/>
          <w:lang w:val="es-ES" w:eastAsia="es-ES"/>
        </w:rPr>
        <w:t xml:space="preserve">, es decir, debe tener autorizado el recurso tanto la persona como la nave con la que se hará efectivo el permiso, acreditándolo por medio de los certificados de RPA correspondientes (de la persona y de la nave). Sólo en el caso de los pescadores artesanales de la XI y XII Regiones, basta con que estén inscritos en el </w:t>
      </w:r>
      <w:r w:rsidR="007F2F23">
        <w:rPr>
          <w:rFonts w:ascii="gobCL" w:eastAsia="Calibri" w:hAnsi="gobCL"/>
          <w:sz w:val="22"/>
          <w:szCs w:val="22"/>
          <w:lang w:val="es-ES" w:eastAsia="es-ES"/>
        </w:rPr>
        <w:t>R</w:t>
      </w:r>
      <w:r w:rsidRPr="00E0006D">
        <w:rPr>
          <w:rFonts w:ascii="gobCL" w:eastAsia="Calibri" w:hAnsi="gobCL"/>
          <w:sz w:val="22"/>
          <w:szCs w:val="22"/>
          <w:lang w:val="es-ES" w:eastAsia="es-ES"/>
        </w:rPr>
        <w:t xml:space="preserve">egistro </w:t>
      </w:r>
      <w:r w:rsidR="007F2F23">
        <w:rPr>
          <w:rFonts w:ascii="gobCL" w:eastAsia="Calibri" w:hAnsi="gobCL"/>
          <w:sz w:val="22"/>
          <w:szCs w:val="22"/>
          <w:lang w:val="es-ES" w:eastAsia="es-ES"/>
        </w:rPr>
        <w:t>A</w:t>
      </w:r>
      <w:r w:rsidRPr="00E0006D">
        <w:rPr>
          <w:rFonts w:ascii="gobCL" w:eastAsia="Calibri" w:hAnsi="gobCL"/>
          <w:sz w:val="22"/>
          <w:szCs w:val="22"/>
          <w:lang w:val="es-ES" w:eastAsia="es-ES"/>
        </w:rPr>
        <w:t>rtesanal (no necesariamente en bacalao) y presenten su respectivo certificado.</w:t>
      </w:r>
    </w:p>
    <w:p w:rsidR="007F2F23" w:rsidRPr="007F2F23" w:rsidRDefault="007F2F23" w:rsidP="007F2F23">
      <w:pPr>
        <w:ind w:left="720"/>
        <w:jc w:val="both"/>
        <w:rPr>
          <w:rFonts w:ascii="gobCL" w:eastAsia="Calibri" w:hAnsi="gobCL"/>
          <w:b/>
          <w:i/>
          <w:color w:val="1F497D" w:themeColor="text2"/>
          <w:sz w:val="22"/>
          <w:szCs w:val="22"/>
          <w:lang w:val="es-ES" w:eastAsia="es-ES"/>
        </w:rPr>
      </w:pPr>
    </w:p>
    <w:p w:rsidR="00E0006D" w:rsidRPr="00A15DFB" w:rsidRDefault="00E0006D" w:rsidP="00A15DFB">
      <w:pPr>
        <w:pStyle w:val="Prrafodelista"/>
        <w:numPr>
          <w:ilvl w:val="0"/>
          <w:numId w:val="7"/>
        </w:numPr>
        <w:jc w:val="both"/>
        <w:rPr>
          <w:rFonts w:ascii="gobCL" w:eastAsia="Calibri" w:hAnsi="gobCL"/>
          <w:b/>
          <w:i/>
          <w:color w:val="1F497D" w:themeColor="text2"/>
          <w:sz w:val="22"/>
          <w:szCs w:val="22"/>
          <w:lang w:val="es-ES" w:eastAsia="es-ES"/>
        </w:rPr>
      </w:pPr>
      <w:r w:rsidRPr="00A15DFB">
        <w:rPr>
          <w:rFonts w:ascii="gobCL" w:eastAsia="Calibri" w:hAnsi="gobCL"/>
          <w:b/>
          <w:color w:val="1F497D" w:themeColor="text2"/>
          <w:sz w:val="22"/>
          <w:szCs w:val="22"/>
          <w:lang w:val="es-ES" w:eastAsia="es-ES"/>
        </w:rPr>
        <w:t>¿Es posible hacer postura en los 10 lotes del sector artesanal con la garantía correspondiente a 5 lotes?, ya que sólo se pueden adjudicar por persona, como máximo sólo 5 lotes.</w:t>
      </w:r>
    </w:p>
    <w:p w:rsidR="00E0006D" w:rsidRPr="00E0006D" w:rsidRDefault="00E0006D" w:rsidP="00294386">
      <w:pPr>
        <w:tabs>
          <w:tab w:val="left" w:pos="2115"/>
        </w:tabs>
        <w:ind w:left="720"/>
        <w:jc w:val="both"/>
        <w:rPr>
          <w:rFonts w:ascii="gobCL" w:eastAsia="Calibri" w:hAnsi="gobCL"/>
          <w:sz w:val="22"/>
          <w:szCs w:val="22"/>
          <w:lang w:val="es-ES" w:eastAsia="es-ES"/>
        </w:rPr>
      </w:pPr>
      <w:r w:rsidRPr="00E0006D">
        <w:rPr>
          <w:rFonts w:ascii="gobCL" w:eastAsia="Calibri" w:hAnsi="gobCL"/>
          <w:sz w:val="22"/>
          <w:szCs w:val="22"/>
          <w:lang w:val="es-ES" w:eastAsia="es-ES"/>
        </w:rPr>
        <w:tab/>
      </w:r>
    </w:p>
    <w:p w:rsidR="00E0006D" w:rsidRPr="00E0006D" w:rsidRDefault="00E0006D" w:rsidP="002F57AE">
      <w:pPr>
        <w:jc w:val="both"/>
        <w:rPr>
          <w:rFonts w:ascii="gobCL" w:eastAsia="Calibri" w:hAnsi="gobCL"/>
          <w:i/>
          <w:sz w:val="22"/>
          <w:szCs w:val="22"/>
          <w:lang w:val="es-ES" w:eastAsia="es-ES"/>
        </w:rPr>
      </w:pPr>
      <w:r w:rsidRPr="00E0006D">
        <w:rPr>
          <w:rFonts w:ascii="gobCL" w:eastAsia="Calibri" w:hAnsi="gobCL"/>
          <w:sz w:val="22"/>
          <w:szCs w:val="22"/>
          <w:lang w:val="es-ES" w:eastAsia="es-ES"/>
        </w:rPr>
        <w:t>En cuanto a las garantías de seriedad de la oferta, el Reglamento de Permisos Extraordinarios de Pesca, D.S. Nº 97 de 1996, en su artí</w:t>
      </w:r>
      <w:r w:rsidR="007F2F23">
        <w:rPr>
          <w:rFonts w:ascii="gobCL" w:eastAsia="Calibri" w:hAnsi="gobCL"/>
          <w:sz w:val="22"/>
          <w:szCs w:val="22"/>
          <w:lang w:val="es-ES" w:eastAsia="es-ES"/>
        </w:rPr>
        <w:t xml:space="preserve">culo 10º inciso segundo señala que </w:t>
      </w:r>
      <w:r w:rsidRPr="00E0006D">
        <w:rPr>
          <w:rFonts w:ascii="gobCL" w:eastAsia="Calibri" w:hAnsi="gobCL"/>
          <w:i/>
          <w:sz w:val="22"/>
          <w:szCs w:val="22"/>
          <w:lang w:val="es-ES" w:eastAsia="es-ES"/>
        </w:rPr>
        <w:t>“en caso que un interesado no se adjudique un determinado lote, podrá utilizar la misma garantía de seriedad de la oferta para participar en la subasta de otro lote, siempre que el monto de dicha garantía sea suficiente para poder realizar esta nueva oferta</w:t>
      </w:r>
      <w:r w:rsidR="007F2F23">
        <w:rPr>
          <w:rFonts w:ascii="gobCL" w:eastAsia="Calibri" w:hAnsi="gobCL"/>
          <w:i/>
          <w:sz w:val="22"/>
          <w:szCs w:val="22"/>
          <w:lang w:val="es-ES" w:eastAsia="es-ES"/>
        </w:rPr>
        <w:t>.</w:t>
      </w:r>
      <w:r w:rsidRPr="00E0006D">
        <w:rPr>
          <w:rFonts w:ascii="gobCL" w:eastAsia="Calibri" w:hAnsi="gobCL"/>
          <w:i/>
          <w:sz w:val="22"/>
          <w:szCs w:val="22"/>
          <w:lang w:val="es-ES" w:eastAsia="es-ES"/>
        </w:rPr>
        <w:t>”</w:t>
      </w:r>
      <w:r w:rsidR="007F2F23">
        <w:rPr>
          <w:rFonts w:ascii="gobCL" w:eastAsia="Calibri" w:hAnsi="gobCL"/>
          <w:i/>
          <w:sz w:val="22"/>
          <w:szCs w:val="22"/>
          <w:lang w:val="es-ES" w:eastAsia="es-ES"/>
        </w:rPr>
        <w:t>.</w:t>
      </w:r>
    </w:p>
    <w:p w:rsidR="00E0006D" w:rsidRPr="00A3228E" w:rsidRDefault="00E0006D" w:rsidP="00294386">
      <w:pPr>
        <w:ind w:left="720"/>
        <w:jc w:val="both"/>
        <w:rPr>
          <w:rFonts w:ascii="gobCL" w:eastAsia="Calibri" w:hAnsi="gobCL"/>
          <w:b/>
          <w:i/>
          <w:color w:val="1F497D" w:themeColor="text2"/>
          <w:sz w:val="22"/>
          <w:szCs w:val="22"/>
          <w:lang w:val="es-ES" w:eastAsia="es-ES"/>
        </w:rPr>
      </w:pPr>
    </w:p>
    <w:p w:rsidR="007A7827" w:rsidRDefault="007A7827" w:rsidP="007A7827">
      <w:pPr>
        <w:ind w:left="720"/>
        <w:jc w:val="both"/>
        <w:rPr>
          <w:rFonts w:ascii="gobCL" w:eastAsia="Calibri" w:hAnsi="gobCL"/>
          <w:b/>
          <w:i/>
          <w:color w:val="1F497D" w:themeColor="text2"/>
          <w:sz w:val="22"/>
          <w:szCs w:val="22"/>
          <w:lang w:val="es-ES" w:eastAsia="es-ES"/>
        </w:rPr>
      </w:pPr>
    </w:p>
    <w:p w:rsidR="007A7827" w:rsidRDefault="007A7827" w:rsidP="007A7827">
      <w:pPr>
        <w:ind w:left="720"/>
        <w:jc w:val="both"/>
        <w:rPr>
          <w:rFonts w:ascii="gobCL" w:eastAsia="Calibri" w:hAnsi="gobCL"/>
          <w:b/>
          <w:i/>
          <w:color w:val="1F497D" w:themeColor="text2"/>
          <w:sz w:val="22"/>
          <w:szCs w:val="22"/>
          <w:lang w:val="es-ES" w:eastAsia="es-ES"/>
        </w:rPr>
      </w:pPr>
    </w:p>
    <w:p w:rsidR="00E0006D" w:rsidRPr="00A3228E" w:rsidRDefault="00E0006D" w:rsidP="00A15DFB">
      <w:pPr>
        <w:numPr>
          <w:ilvl w:val="0"/>
          <w:numId w:val="7"/>
        </w:numPr>
        <w:jc w:val="both"/>
        <w:rPr>
          <w:rFonts w:ascii="gobCL" w:eastAsia="Calibri" w:hAnsi="gobCL"/>
          <w:b/>
          <w:i/>
          <w:color w:val="1F497D" w:themeColor="text2"/>
          <w:sz w:val="22"/>
          <w:szCs w:val="22"/>
          <w:lang w:val="es-ES" w:eastAsia="es-ES"/>
        </w:rPr>
      </w:pPr>
      <w:r w:rsidRPr="00A3228E">
        <w:rPr>
          <w:rFonts w:ascii="gobCL" w:eastAsia="Calibri" w:hAnsi="gobCL"/>
          <w:b/>
          <w:i/>
          <w:color w:val="1F497D" w:themeColor="text2"/>
          <w:sz w:val="22"/>
          <w:szCs w:val="22"/>
          <w:lang w:val="es-ES" w:eastAsia="es-ES"/>
        </w:rPr>
        <w:t>¿Es posible que el vale vista, como garantía de seriedad de la oferta, pueda ser tomado por una persona diferente a la que hará la oferta?</w:t>
      </w:r>
    </w:p>
    <w:p w:rsidR="00E0006D" w:rsidRPr="00E0006D" w:rsidRDefault="00E0006D" w:rsidP="00294386">
      <w:pPr>
        <w:ind w:left="720"/>
        <w:jc w:val="both"/>
        <w:rPr>
          <w:rFonts w:ascii="gobCL" w:eastAsia="Calibri" w:hAnsi="gobCL"/>
          <w:i/>
          <w:sz w:val="22"/>
          <w:szCs w:val="22"/>
          <w:lang w:val="es-ES" w:eastAsia="es-ES"/>
        </w:rPr>
      </w:pPr>
    </w:p>
    <w:p w:rsidR="00E0006D" w:rsidRDefault="00E0006D" w:rsidP="002F57AE">
      <w:pPr>
        <w:jc w:val="both"/>
        <w:rPr>
          <w:rFonts w:ascii="gobCL" w:eastAsia="Calibri" w:hAnsi="gobCL"/>
          <w:sz w:val="22"/>
          <w:szCs w:val="22"/>
          <w:lang w:val="es-ES" w:eastAsia="es-ES"/>
        </w:rPr>
      </w:pPr>
      <w:r w:rsidRPr="007F2F23">
        <w:rPr>
          <w:rFonts w:ascii="gobCL" w:eastAsia="Calibri" w:hAnsi="gobCL"/>
          <w:sz w:val="22"/>
          <w:szCs w:val="22"/>
          <w:lang w:val="es-ES" w:eastAsia="es-ES"/>
        </w:rPr>
        <w:t xml:space="preserve">El reglamento antes citado permite usar tres tipos de documentos como garantía de seriedad de la oferta: </w:t>
      </w:r>
      <w:r w:rsidRPr="007F2F23">
        <w:rPr>
          <w:rFonts w:ascii="gobCL" w:eastAsia="Calibri" w:hAnsi="gobCL"/>
          <w:b/>
          <w:sz w:val="22"/>
          <w:szCs w:val="22"/>
          <w:lang w:val="es-ES" w:eastAsia="es-ES"/>
        </w:rPr>
        <w:t>vale vista bancario</w:t>
      </w:r>
      <w:r w:rsidRPr="007F2F23">
        <w:rPr>
          <w:rFonts w:ascii="gobCL" w:eastAsia="Calibri" w:hAnsi="gobCL"/>
          <w:sz w:val="22"/>
          <w:szCs w:val="22"/>
          <w:lang w:val="es-ES" w:eastAsia="es-ES"/>
        </w:rPr>
        <w:t xml:space="preserve">, </w:t>
      </w:r>
      <w:r w:rsidRPr="007F2F23">
        <w:rPr>
          <w:rFonts w:ascii="gobCL" w:eastAsia="Calibri" w:hAnsi="gobCL"/>
          <w:b/>
          <w:sz w:val="22"/>
          <w:szCs w:val="22"/>
          <w:lang w:val="es-ES" w:eastAsia="es-ES"/>
        </w:rPr>
        <w:t>boleta bancaria de garantía pagadera a la vista</w:t>
      </w:r>
      <w:r w:rsidRPr="007F2F23">
        <w:rPr>
          <w:rFonts w:ascii="gobCL" w:eastAsia="Calibri" w:hAnsi="gobCL"/>
          <w:sz w:val="22"/>
          <w:szCs w:val="22"/>
          <w:lang w:val="es-ES" w:eastAsia="es-ES"/>
        </w:rPr>
        <w:t xml:space="preserve"> y </w:t>
      </w:r>
      <w:r w:rsidRPr="007F2F23">
        <w:rPr>
          <w:rFonts w:ascii="gobCL" w:eastAsia="Calibri" w:hAnsi="gobCL"/>
          <w:b/>
          <w:sz w:val="22"/>
          <w:szCs w:val="22"/>
          <w:lang w:val="es-ES" w:eastAsia="es-ES"/>
        </w:rPr>
        <w:t>póliza de seguro con cláusula de ejecución inmediata y sin liquidador</w:t>
      </w:r>
      <w:r w:rsidRPr="007F2F23">
        <w:rPr>
          <w:rFonts w:ascii="gobCL" w:eastAsia="Calibri" w:hAnsi="gobCL"/>
          <w:sz w:val="22"/>
          <w:szCs w:val="22"/>
          <w:lang w:val="es-ES" w:eastAsia="es-ES"/>
        </w:rPr>
        <w:t xml:space="preserve">. </w:t>
      </w:r>
    </w:p>
    <w:p w:rsidR="007F2F23" w:rsidRPr="007F2F23" w:rsidRDefault="007F2F23" w:rsidP="00294386">
      <w:pPr>
        <w:ind w:left="720"/>
        <w:jc w:val="both"/>
        <w:rPr>
          <w:rFonts w:ascii="gobCL" w:eastAsia="Calibri" w:hAnsi="gobCL"/>
          <w:sz w:val="22"/>
          <w:szCs w:val="22"/>
          <w:lang w:val="es-ES" w:eastAsia="es-ES"/>
        </w:rPr>
      </w:pPr>
    </w:p>
    <w:p w:rsidR="00E0006D" w:rsidRDefault="00E0006D" w:rsidP="002F57AE">
      <w:pPr>
        <w:jc w:val="both"/>
        <w:rPr>
          <w:rFonts w:ascii="gobCL" w:eastAsia="Calibri" w:hAnsi="gobCL"/>
          <w:sz w:val="22"/>
          <w:szCs w:val="22"/>
          <w:lang w:val="es-ES" w:eastAsia="es-ES"/>
        </w:rPr>
      </w:pPr>
      <w:r w:rsidRPr="007F2F23">
        <w:rPr>
          <w:rFonts w:ascii="gobCL" w:eastAsia="Calibri" w:hAnsi="gobCL"/>
          <w:sz w:val="22"/>
          <w:szCs w:val="22"/>
          <w:lang w:val="es-ES" w:eastAsia="es-ES"/>
        </w:rPr>
        <w:t>En los dos primeros casos, es decir, vale vista y boleta bancaria, en caso de pertenecer a una persona distinta a la que hará la oferta, deberá acreditarse el vínculo jurídico que existe entre el tomador del documento y la persona que hará la oferta, a través de la documentación respectiva, pues se estaría caucionando una obligación ajena. (Conviene advertir que cualquier participante puede tomar una boleta de garantía en el banco, para cumplir el requisito exigido por el reglamento, es un trámite simple.)</w:t>
      </w:r>
    </w:p>
    <w:p w:rsidR="003906BB" w:rsidRPr="007F2F23" w:rsidRDefault="003906BB" w:rsidP="002F57AE">
      <w:pPr>
        <w:jc w:val="both"/>
        <w:rPr>
          <w:rFonts w:ascii="gobCL" w:eastAsia="Calibri" w:hAnsi="gobCL"/>
          <w:sz w:val="22"/>
          <w:szCs w:val="22"/>
          <w:lang w:val="es-ES" w:eastAsia="es-ES"/>
        </w:rPr>
      </w:pPr>
    </w:p>
    <w:p w:rsidR="00E0006D" w:rsidRPr="007F2F23" w:rsidRDefault="00E0006D" w:rsidP="002F57AE">
      <w:pPr>
        <w:jc w:val="both"/>
        <w:rPr>
          <w:rFonts w:ascii="gobCL" w:eastAsia="Calibri" w:hAnsi="gobCL"/>
          <w:sz w:val="22"/>
          <w:szCs w:val="22"/>
          <w:lang w:val="es-ES" w:eastAsia="es-ES"/>
        </w:rPr>
      </w:pPr>
      <w:r w:rsidRPr="007F2F23">
        <w:rPr>
          <w:rFonts w:ascii="gobCL" w:eastAsia="Calibri" w:hAnsi="gobCL"/>
          <w:sz w:val="22"/>
          <w:szCs w:val="22"/>
          <w:lang w:val="es-ES" w:eastAsia="es-ES"/>
        </w:rPr>
        <w:t xml:space="preserve">En el caso de la póliza de seguro, el mismo formato permite la figura que </w:t>
      </w:r>
      <w:r w:rsidR="007F2F23" w:rsidRPr="007F2F23">
        <w:rPr>
          <w:rFonts w:ascii="gobCL" w:eastAsia="Calibri" w:hAnsi="gobCL"/>
          <w:sz w:val="22"/>
          <w:szCs w:val="22"/>
          <w:lang w:val="es-ES" w:eastAsia="es-ES"/>
        </w:rPr>
        <w:t>Ud.</w:t>
      </w:r>
      <w:r w:rsidRPr="007F2F23">
        <w:rPr>
          <w:rFonts w:ascii="gobCL" w:eastAsia="Calibri" w:hAnsi="gobCL"/>
          <w:sz w:val="22"/>
          <w:szCs w:val="22"/>
          <w:lang w:val="es-ES" w:eastAsia="es-ES"/>
        </w:rPr>
        <w:t xml:space="preserve"> señala, siendo el beneficiario la Subsecretaría de Pesca y Acuicultura.</w:t>
      </w:r>
    </w:p>
    <w:p w:rsidR="00E0006D" w:rsidRPr="00A3228E" w:rsidRDefault="00E0006D" w:rsidP="00294386">
      <w:pPr>
        <w:ind w:left="720"/>
        <w:jc w:val="both"/>
        <w:rPr>
          <w:rFonts w:ascii="gobCL" w:eastAsia="Calibri" w:hAnsi="gobCL"/>
          <w:b/>
          <w:i/>
          <w:color w:val="1F497D" w:themeColor="text2"/>
          <w:sz w:val="22"/>
          <w:szCs w:val="22"/>
          <w:lang w:val="es-ES" w:eastAsia="es-ES"/>
        </w:rPr>
      </w:pPr>
    </w:p>
    <w:p w:rsidR="00E0006D" w:rsidRPr="00A3228E" w:rsidRDefault="00E0006D" w:rsidP="00A15DFB">
      <w:pPr>
        <w:numPr>
          <w:ilvl w:val="0"/>
          <w:numId w:val="7"/>
        </w:numPr>
        <w:jc w:val="both"/>
        <w:rPr>
          <w:rFonts w:ascii="gobCL" w:eastAsia="Calibri" w:hAnsi="gobCL"/>
          <w:b/>
          <w:i/>
          <w:color w:val="1F497D" w:themeColor="text2"/>
          <w:sz w:val="22"/>
          <w:szCs w:val="22"/>
          <w:lang w:val="es-ES" w:eastAsia="es-ES"/>
        </w:rPr>
      </w:pPr>
      <w:r w:rsidRPr="00A3228E">
        <w:rPr>
          <w:rFonts w:ascii="gobCL" w:eastAsia="Calibri" w:hAnsi="gobCL"/>
          <w:b/>
          <w:i/>
          <w:color w:val="1F497D" w:themeColor="text2"/>
          <w:sz w:val="22"/>
          <w:szCs w:val="22"/>
          <w:lang w:val="es-ES" w:eastAsia="es-ES"/>
        </w:rPr>
        <w:t>¿Es necesario acompañar certificado de navegabilidad y matrícula de la embarcación con la cual se hará efectivo el permiso extraordinario de pesca?</w:t>
      </w:r>
    </w:p>
    <w:p w:rsidR="00E0006D" w:rsidRPr="00E0006D" w:rsidRDefault="00E0006D" w:rsidP="00294386">
      <w:pPr>
        <w:jc w:val="both"/>
        <w:rPr>
          <w:rFonts w:ascii="gobCL" w:eastAsia="Calibri" w:hAnsi="gobCL"/>
          <w:i/>
          <w:sz w:val="22"/>
          <w:szCs w:val="22"/>
          <w:lang w:val="es-ES" w:eastAsia="es-ES"/>
        </w:rPr>
      </w:pPr>
    </w:p>
    <w:p w:rsidR="00E0006D" w:rsidRPr="007F2F23" w:rsidRDefault="00E0006D" w:rsidP="002F57AE">
      <w:pPr>
        <w:jc w:val="both"/>
        <w:rPr>
          <w:rFonts w:ascii="gobCL" w:eastAsia="Calibri" w:hAnsi="gobCL"/>
          <w:sz w:val="22"/>
          <w:szCs w:val="22"/>
          <w:lang w:val="es-ES" w:eastAsia="es-ES"/>
        </w:rPr>
      </w:pPr>
      <w:r w:rsidRPr="007F2F23">
        <w:rPr>
          <w:rFonts w:ascii="gobCL" w:eastAsia="Calibri" w:hAnsi="gobCL"/>
          <w:sz w:val="22"/>
          <w:szCs w:val="22"/>
          <w:lang w:val="es-ES" w:eastAsia="es-ES"/>
        </w:rPr>
        <w:t>No lo exige el reglamento, sólo se exige acompañar el certificado de RPA con una antigüedad no superior a un mes contado desde la fecha de la subasta.</w:t>
      </w:r>
    </w:p>
    <w:p w:rsidR="00E0006D" w:rsidRPr="00E04547" w:rsidRDefault="00E0006D" w:rsidP="00294386">
      <w:pPr>
        <w:shd w:val="clear" w:color="auto" w:fill="FFFFFF"/>
        <w:jc w:val="both"/>
        <w:rPr>
          <w:rFonts w:ascii="gobCL" w:eastAsia="Times New Roman" w:hAnsi="gobCL" w:cs="Helvetica"/>
          <w:sz w:val="22"/>
          <w:szCs w:val="22"/>
        </w:rPr>
      </w:pPr>
    </w:p>
    <w:p w:rsidR="00E0006D" w:rsidRPr="00A3228E" w:rsidRDefault="00E0006D" w:rsidP="00294386">
      <w:pPr>
        <w:pStyle w:val="Prrafodelista"/>
        <w:numPr>
          <w:ilvl w:val="0"/>
          <w:numId w:val="6"/>
        </w:numPr>
        <w:jc w:val="both"/>
        <w:rPr>
          <w:rFonts w:ascii="gobCL" w:hAnsi="gobCL"/>
          <w:b/>
          <w:color w:val="1F497D" w:themeColor="text2"/>
          <w:sz w:val="22"/>
          <w:szCs w:val="22"/>
        </w:rPr>
      </w:pPr>
      <w:r w:rsidRPr="00A3228E">
        <w:rPr>
          <w:rFonts w:ascii="gobCL" w:hAnsi="gobCL"/>
          <w:b/>
          <w:color w:val="1F497D" w:themeColor="text2"/>
          <w:sz w:val="22"/>
          <w:szCs w:val="22"/>
        </w:rPr>
        <w:t xml:space="preserve"> En relación a las bases de licitación de PEP de Langostino Amarillo y bases de licitación de PEP de Langostino Colorado, les agradeceremos aclarar los siguientes puntos:</w:t>
      </w:r>
    </w:p>
    <w:p w:rsidR="00E0006D" w:rsidRPr="00E04547" w:rsidRDefault="00E0006D" w:rsidP="00294386">
      <w:pPr>
        <w:jc w:val="both"/>
        <w:rPr>
          <w:rFonts w:ascii="gobCL" w:hAnsi="gobCL"/>
          <w:sz w:val="22"/>
          <w:szCs w:val="22"/>
        </w:rPr>
      </w:pPr>
    </w:p>
    <w:p w:rsidR="00E0006D" w:rsidRPr="00A15DFB" w:rsidRDefault="00E0006D" w:rsidP="00A15DFB">
      <w:pPr>
        <w:pStyle w:val="Prrafodelista"/>
        <w:numPr>
          <w:ilvl w:val="0"/>
          <w:numId w:val="8"/>
        </w:numPr>
        <w:spacing w:after="200"/>
        <w:jc w:val="both"/>
        <w:rPr>
          <w:rFonts w:ascii="gobCL" w:hAnsi="gobCL" w:cstheme="minorBidi"/>
          <w:b/>
          <w:color w:val="1F497D" w:themeColor="text2"/>
          <w:sz w:val="22"/>
          <w:szCs w:val="22"/>
          <w:lang w:val="es-ES" w:eastAsia="en-US"/>
        </w:rPr>
      </w:pPr>
      <w:r w:rsidRPr="00A15DFB">
        <w:rPr>
          <w:rFonts w:ascii="gobCL" w:hAnsi="gobCL" w:cstheme="minorBidi"/>
          <w:b/>
          <w:color w:val="1F497D" w:themeColor="text2"/>
          <w:sz w:val="22"/>
          <w:szCs w:val="22"/>
          <w:lang w:val="es-ES" w:eastAsia="en-US"/>
        </w:rPr>
        <w:t>En las bases no se especifica la o las regiones de la pesquería de langostino amarillo y langostino colorado. ¿Qué debemos indicar entonces en el exterior del sobre N° 2 en la parte “Área” y en el formulario del sobre N° 2 y en el formulario del sobre N° 3 en la parte “Unidad de Pesquería”?</w:t>
      </w:r>
    </w:p>
    <w:p w:rsidR="00E0006D" w:rsidRPr="00E0006D" w:rsidRDefault="00E0006D" w:rsidP="00294386">
      <w:pPr>
        <w:spacing w:after="200"/>
        <w:ind w:left="720"/>
        <w:contextualSpacing/>
        <w:jc w:val="both"/>
        <w:rPr>
          <w:rFonts w:ascii="gobCL" w:hAnsi="gobCL" w:cstheme="minorBidi"/>
          <w:sz w:val="22"/>
          <w:szCs w:val="22"/>
          <w:lang w:val="es-ES" w:eastAsia="en-US"/>
        </w:rPr>
      </w:pPr>
    </w:p>
    <w:p w:rsidR="00E0006D" w:rsidRPr="00E0006D" w:rsidRDefault="00E0006D" w:rsidP="002F57AE">
      <w:pPr>
        <w:spacing w:after="200"/>
        <w:jc w:val="both"/>
        <w:rPr>
          <w:rFonts w:ascii="gobCL" w:hAnsi="gobCL" w:cstheme="minorBidi"/>
          <w:sz w:val="22"/>
          <w:szCs w:val="22"/>
          <w:lang w:val="es-ES" w:eastAsia="en-US"/>
        </w:rPr>
      </w:pPr>
      <w:r w:rsidRPr="00E0006D">
        <w:rPr>
          <w:rFonts w:ascii="gobCL" w:hAnsi="gobCL" w:cstheme="minorBidi"/>
          <w:sz w:val="22"/>
          <w:szCs w:val="22"/>
          <w:lang w:val="es-ES" w:eastAsia="en-US"/>
        </w:rPr>
        <w:t>En ambos casos la unidad de pesquería corresponde a la V-VIII Regiones. Está indicado en el numeral 10 de las Bases Administrativas.</w:t>
      </w:r>
    </w:p>
    <w:p w:rsidR="00E0006D" w:rsidRPr="00A15DFB" w:rsidRDefault="00E0006D" w:rsidP="00A15DFB">
      <w:pPr>
        <w:pStyle w:val="Prrafodelista"/>
        <w:numPr>
          <w:ilvl w:val="0"/>
          <w:numId w:val="8"/>
        </w:numPr>
        <w:spacing w:after="200"/>
        <w:jc w:val="both"/>
        <w:rPr>
          <w:rFonts w:ascii="gobCL" w:hAnsi="gobCL" w:cstheme="minorBidi"/>
          <w:b/>
          <w:color w:val="1F497D" w:themeColor="text2"/>
          <w:sz w:val="22"/>
          <w:szCs w:val="22"/>
          <w:lang w:val="es-ES" w:eastAsia="en-US"/>
        </w:rPr>
      </w:pPr>
      <w:r w:rsidRPr="00A15DFB">
        <w:rPr>
          <w:rFonts w:ascii="gobCL" w:hAnsi="gobCL" w:cstheme="minorBidi"/>
          <w:b/>
          <w:color w:val="1F497D" w:themeColor="text2"/>
          <w:sz w:val="22"/>
          <w:szCs w:val="22"/>
          <w:lang w:val="es-ES" w:eastAsia="en-US"/>
        </w:rPr>
        <w:t>En el formulario del sobre N° 2 y en el formulario del sobre N° 3 se indica “Tamaño del Lote (%)”, pero en las bases se habla de “Tamaño del corte (%)”, ¿Son lo mismo?</w:t>
      </w:r>
    </w:p>
    <w:p w:rsidR="00E0006D" w:rsidRDefault="00E0006D" w:rsidP="002F57AE">
      <w:pPr>
        <w:spacing w:after="200"/>
        <w:jc w:val="both"/>
        <w:rPr>
          <w:rFonts w:ascii="gobCL" w:hAnsi="gobCL" w:cstheme="minorBidi"/>
          <w:sz w:val="22"/>
          <w:szCs w:val="22"/>
          <w:lang w:val="es-ES" w:eastAsia="en-US"/>
        </w:rPr>
      </w:pPr>
      <w:r w:rsidRPr="00E0006D">
        <w:rPr>
          <w:rFonts w:ascii="gobCL" w:hAnsi="gobCL" w:cstheme="minorBidi"/>
          <w:sz w:val="22"/>
          <w:szCs w:val="22"/>
          <w:lang w:val="es-ES" w:eastAsia="en-US"/>
        </w:rPr>
        <w:t>Si, son lo mismo.</w:t>
      </w:r>
    </w:p>
    <w:p w:rsidR="003906BB" w:rsidRPr="00E0006D" w:rsidRDefault="003906BB" w:rsidP="002F57AE">
      <w:pPr>
        <w:spacing w:after="200"/>
        <w:jc w:val="both"/>
        <w:rPr>
          <w:rFonts w:ascii="gobCL" w:hAnsi="gobCL" w:cstheme="minorBidi"/>
          <w:sz w:val="22"/>
          <w:szCs w:val="22"/>
          <w:lang w:val="es-ES" w:eastAsia="en-US"/>
        </w:rPr>
      </w:pPr>
    </w:p>
    <w:p w:rsidR="003906BB" w:rsidRDefault="003906BB" w:rsidP="003906BB">
      <w:pPr>
        <w:spacing w:after="200"/>
        <w:ind w:left="1080"/>
        <w:contextualSpacing/>
        <w:jc w:val="both"/>
        <w:rPr>
          <w:rFonts w:ascii="gobCL" w:hAnsi="gobCL" w:cstheme="minorBidi"/>
          <w:b/>
          <w:color w:val="1F497D" w:themeColor="text2"/>
          <w:sz w:val="22"/>
          <w:szCs w:val="22"/>
          <w:lang w:val="es-ES" w:eastAsia="en-US"/>
        </w:rPr>
      </w:pPr>
      <w:bookmarkStart w:id="0" w:name="_GoBack"/>
      <w:bookmarkEnd w:id="0"/>
    </w:p>
    <w:p w:rsidR="003906BB" w:rsidRDefault="003906BB" w:rsidP="003906BB">
      <w:pPr>
        <w:spacing w:after="200"/>
        <w:ind w:left="1080"/>
        <w:contextualSpacing/>
        <w:jc w:val="both"/>
        <w:rPr>
          <w:rFonts w:ascii="gobCL" w:hAnsi="gobCL" w:cstheme="minorBidi"/>
          <w:b/>
          <w:color w:val="1F497D" w:themeColor="text2"/>
          <w:sz w:val="22"/>
          <w:szCs w:val="22"/>
          <w:lang w:val="es-ES" w:eastAsia="en-US"/>
        </w:rPr>
      </w:pPr>
    </w:p>
    <w:p w:rsidR="00E0006D" w:rsidRPr="00A3228E" w:rsidRDefault="00E0006D" w:rsidP="00A15DFB">
      <w:pPr>
        <w:numPr>
          <w:ilvl w:val="0"/>
          <w:numId w:val="8"/>
        </w:numPr>
        <w:spacing w:after="200"/>
        <w:contextualSpacing/>
        <w:jc w:val="both"/>
        <w:rPr>
          <w:rFonts w:ascii="gobCL" w:hAnsi="gobCL" w:cstheme="minorBidi"/>
          <w:b/>
          <w:color w:val="1F497D" w:themeColor="text2"/>
          <w:sz w:val="22"/>
          <w:szCs w:val="22"/>
          <w:lang w:val="es-ES" w:eastAsia="en-US"/>
        </w:rPr>
      </w:pPr>
      <w:r w:rsidRPr="00A3228E">
        <w:rPr>
          <w:rFonts w:ascii="gobCL" w:hAnsi="gobCL" w:cstheme="minorBidi"/>
          <w:b/>
          <w:color w:val="1F497D" w:themeColor="text2"/>
          <w:sz w:val="22"/>
          <w:szCs w:val="22"/>
          <w:lang w:val="es-ES" w:eastAsia="en-US"/>
        </w:rPr>
        <w:t>¿Se puede presentar un solo documento de garantía de la oferta por todos los lotes o es necesario presentar un documento de garantía por cada lote en forma individual?</w:t>
      </w:r>
    </w:p>
    <w:p w:rsidR="00A3228E" w:rsidRPr="00E0006D" w:rsidRDefault="00A3228E" w:rsidP="00A3228E">
      <w:pPr>
        <w:spacing w:after="200"/>
        <w:ind w:left="720"/>
        <w:contextualSpacing/>
        <w:jc w:val="both"/>
        <w:rPr>
          <w:rFonts w:ascii="gobCL" w:hAnsi="gobCL" w:cstheme="minorBidi"/>
          <w:sz w:val="22"/>
          <w:szCs w:val="22"/>
          <w:lang w:val="es-ES" w:eastAsia="en-US"/>
        </w:rPr>
      </w:pPr>
    </w:p>
    <w:p w:rsidR="00E0006D" w:rsidRDefault="00E0006D" w:rsidP="002F57AE">
      <w:pPr>
        <w:spacing w:after="200"/>
        <w:jc w:val="both"/>
        <w:rPr>
          <w:rFonts w:ascii="gobCL" w:hAnsi="gobCL" w:cstheme="minorBidi"/>
          <w:sz w:val="22"/>
          <w:szCs w:val="22"/>
          <w:lang w:val="es-ES" w:eastAsia="en-US"/>
        </w:rPr>
      </w:pPr>
      <w:r w:rsidRPr="00E0006D">
        <w:rPr>
          <w:rFonts w:ascii="gobCL" w:hAnsi="gobCL" w:cstheme="minorBidi"/>
          <w:sz w:val="22"/>
          <w:szCs w:val="22"/>
          <w:lang w:val="es-ES" w:eastAsia="en-US"/>
        </w:rPr>
        <w:t>Si, se puede presentar un solo documento. Pero se recomienda que sea uno por cada lote para agilizar la devolución de garantías respecto de los lotes que no se adjudiquen. Si es un solo documento, éste quedará retenido hasta el pago respectivo del lote o lotes adjudicados, sin que pueda devolverse aquella parte correspondi</w:t>
      </w:r>
      <w:r w:rsidR="00A3228E">
        <w:rPr>
          <w:rFonts w:ascii="gobCL" w:hAnsi="gobCL" w:cstheme="minorBidi"/>
          <w:sz w:val="22"/>
          <w:szCs w:val="22"/>
          <w:lang w:val="es-ES" w:eastAsia="en-US"/>
        </w:rPr>
        <w:t>ente a los lotes no adjudicados.</w:t>
      </w:r>
    </w:p>
    <w:p w:rsidR="00E0006D" w:rsidRDefault="00E0006D" w:rsidP="00A15DFB">
      <w:pPr>
        <w:numPr>
          <w:ilvl w:val="0"/>
          <w:numId w:val="8"/>
        </w:numPr>
        <w:spacing w:after="200"/>
        <w:contextualSpacing/>
        <w:jc w:val="both"/>
        <w:rPr>
          <w:rFonts w:ascii="gobCL" w:hAnsi="gobCL" w:cstheme="minorBidi"/>
          <w:b/>
          <w:color w:val="1F497D" w:themeColor="text2"/>
          <w:sz w:val="22"/>
          <w:szCs w:val="22"/>
          <w:lang w:val="es-ES" w:eastAsia="en-US"/>
        </w:rPr>
      </w:pPr>
      <w:r w:rsidRPr="00A3228E">
        <w:rPr>
          <w:rFonts w:ascii="gobCL" w:hAnsi="gobCL" w:cstheme="minorBidi"/>
          <w:b/>
          <w:color w:val="1F497D" w:themeColor="text2"/>
          <w:sz w:val="22"/>
          <w:szCs w:val="22"/>
          <w:lang w:val="es-ES" w:eastAsia="en-US"/>
        </w:rPr>
        <w:t xml:space="preserve">¿Es necesario indicar en el exterior del sobre N°1 Antecedentes Administrativos el nombre, </w:t>
      </w:r>
      <w:proofErr w:type="spellStart"/>
      <w:r w:rsidRPr="00A3228E">
        <w:rPr>
          <w:rFonts w:ascii="gobCL" w:hAnsi="gobCL" w:cstheme="minorBidi"/>
          <w:b/>
          <w:color w:val="1F497D" w:themeColor="text2"/>
          <w:sz w:val="22"/>
          <w:szCs w:val="22"/>
          <w:lang w:val="es-ES" w:eastAsia="en-US"/>
        </w:rPr>
        <w:t>rut</w:t>
      </w:r>
      <w:proofErr w:type="spellEnd"/>
      <w:r w:rsidRPr="00A3228E">
        <w:rPr>
          <w:rFonts w:ascii="gobCL" w:hAnsi="gobCL" w:cstheme="minorBidi"/>
          <w:b/>
          <w:color w:val="1F497D" w:themeColor="text2"/>
          <w:sz w:val="22"/>
          <w:szCs w:val="22"/>
          <w:lang w:val="es-ES" w:eastAsia="en-US"/>
        </w:rPr>
        <w:t>, dirección, número de contacto y correo electrónico (como se ha señalado en las bases de licitación de LTP B)?</w:t>
      </w:r>
    </w:p>
    <w:p w:rsidR="00A3228E" w:rsidRPr="00A3228E" w:rsidRDefault="00A3228E" w:rsidP="00A3228E">
      <w:pPr>
        <w:spacing w:after="200"/>
        <w:ind w:left="720"/>
        <w:contextualSpacing/>
        <w:jc w:val="both"/>
        <w:rPr>
          <w:rFonts w:ascii="gobCL" w:hAnsi="gobCL" w:cstheme="minorBidi"/>
          <w:b/>
          <w:color w:val="1F497D" w:themeColor="text2"/>
          <w:sz w:val="22"/>
          <w:szCs w:val="22"/>
          <w:lang w:val="es-ES" w:eastAsia="en-US"/>
        </w:rPr>
      </w:pPr>
    </w:p>
    <w:p w:rsidR="00E0006D" w:rsidRPr="00E0006D" w:rsidRDefault="00E0006D" w:rsidP="002F57AE">
      <w:pPr>
        <w:spacing w:after="200"/>
        <w:jc w:val="both"/>
        <w:rPr>
          <w:rFonts w:ascii="gobCL" w:hAnsi="gobCL" w:cstheme="minorBidi"/>
          <w:sz w:val="22"/>
          <w:szCs w:val="22"/>
          <w:lang w:val="es-ES" w:eastAsia="en-US"/>
        </w:rPr>
      </w:pPr>
      <w:r w:rsidRPr="00E0006D">
        <w:rPr>
          <w:rFonts w:ascii="gobCL" w:hAnsi="gobCL" w:cstheme="minorBidi"/>
          <w:sz w:val="22"/>
          <w:szCs w:val="22"/>
          <w:lang w:val="es-ES" w:eastAsia="en-US"/>
        </w:rPr>
        <w:t>Si, aunque no se indicó expresamente en las Bases Administrativas de PEP, es lo recomendable para facilitar el proceso.</w:t>
      </w:r>
    </w:p>
    <w:p w:rsidR="00E0006D" w:rsidRDefault="00E0006D" w:rsidP="00A15DFB">
      <w:pPr>
        <w:numPr>
          <w:ilvl w:val="0"/>
          <w:numId w:val="8"/>
        </w:numPr>
        <w:spacing w:after="200"/>
        <w:contextualSpacing/>
        <w:jc w:val="both"/>
        <w:rPr>
          <w:rFonts w:ascii="gobCL" w:hAnsi="gobCL" w:cstheme="minorBidi"/>
          <w:sz w:val="22"/>
          <w:szCs w:val="22"/>
          <w:lang w:val="es-ES" w:eastAsia="en-US"/>
        </w:rPr>
      </w:pPr>
      <w:r w:rsidRPr="00A3228E">
        <w:rPr>
          <w:rFonts w:ascii="gobCL" w:hAnsi="gobCL" w:cstheme="minorBidi"/>
          <w:b/>
          <w:color w:val="1F497D" w:themeColor="text2"/>
          <w:sz w:val="22"/>
          <w:szCs w:val="22"/>
          <w:lang w:val="es-ES" w:eastAsia="en-US"/>
        </w:rPr>
        <w:t>¿Es necesario indicar el nombre del remitente en el exterior de los sobres N°1 “Antecedentes Administrativos”; N° 2 “Oferta Económica”; y, N°3 “Desempates</w:t>
      </w:r>
      <w:r w:rsidRPr="007F2F23">
        <w:rPr>
          <w:rFonts w:ascii="gobCL" w:hAnsi="gobCL" w:cstheme="minorBidi"/>
          <w:b/>
          <w:color w:val="1F497D" w:themeColor="text2"/>
          <w:sz w:val="22"/>
          <w:szCs w:val="22"/>
          <w:lang w:val="es-ES" w:eastAsia="en-US"/>
        </w:rPr>
        <w:t>”?</w:t>
      </w:r>
    </w:p>
    <w:p w:rsidR="00A3228E" w:rsidRPr="00E0006D" w:rsidRDefault="00A3228E" w:rsidP="00A3228E">
      <w:pPr>
        <w:spacing w:after="200"/>
        <w:ind w:left="720"/>
        <w:contextualSpacing/>
        <w:jc w:val="both"/>
        <w:rPr>
          <w:rFonts w:ascii="gobCL" w:hAnsi="gobCL" w:cstheme="minorBidi"/>
          <w:sz w:val="22"/>
          <w:szCs w:val="22"/>
          <w:lang w:val="es-ES" w:eastAsia="en-US"/>
        </w:rPr>
      </w:pPr>
    </w:p>
    <w:p w:rsidR="00E0006D" w:rsidRPr="00E0006D" w:rsidRDefault="00A15DFB" w:rsidP="002F57AE">
      <w:pPr>
        <w:spacing w:after="200"/>
        <w:jc w:val="both"/>
        <w:rPr>
          <w:rFonts w:ascii="gobCL" w:hAnsi="gobCL" w:cstheme="minorBidi"/>
          <w:sz w:val="22"/>
          <w:szCs w:val="22"/>
          <w:lang w:val="es-ES" w:eastAsia="en-US"/>
        </w:rPr>
      </w:pPr>
      <w:r w:rsidRPr="00E0006D">
        <w:rPr>
          <w:rFonts w:ascii="gobCL" w:hAnsi="gobCL" w:cstheme="minorBidi"/>
          <w:sz w:val="22"/>
          <w:szCs w:val="22"/>
          <w:lang w:val="es-ES" w:eastAsia="en-US"/>
        </w:rPr>
        <w:t>Sí</w:t>
      </w:r>
      <w:r w:rsidR="00E0006D" w:rsidRPr="00E0006D">
        <w:rPr>
          <w:rFonts w:ascii="gobCL" w:hAnsi="gobCL" w:cstheme="minorBidi"/>
          <w:sz w:val="22"/>
          <w:szCs w:val="22"/>
          <w:lang w:val="es-ES" w:eastAsia="en-US"/>
        </w:rPr>
        <w:t>, es recomendable para evitar cualquier confusión e identificar claramente los sobres.</w:t>
      </w:r>
    </w:p>
    <w:sectPr w:rsidR="00E0006D" w:rsidRPr="00E0006D" w:rsidSect="003906BB">
      <w:headerReference w:type="default" r:id="rId9"/>
      <w:footerReference w:type="default" r:id="rId10"/>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105" w:rsidRDefault="00AD4105" w:rsidP="00AD4105">
      <w:r>
        <w:separator/>
      </w:r>
    </w:p>
  </w:endnote>
  <w:endnote w:type="continuationSeparator" w:id="0">
    <w:p w:rsidR="00AD4105" w:rsidRDefault="00AD4105" w:rsidP="00AD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panose1 w:val="00000000000000000000"/>
    <w:charset w:val="00"/>
    <w:family w:val="modern"/>
    <w:notTrueType/>
    <w:pitch w:val="variable"/>
    <w:sig w:usb0="8000002F" w:usb1="4000005B" w:usb2="00000000" w:usb3="00000000" w:csb0="0000011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916109"/>
      <w:docPartObj>
        <w:docPartGallery w:val="Page Numbers (Bottom of Page)"/>
        <w:docPartUnique/>
      </w:docPartObj>
    </w:sdtPr>
    <w:sdtContent>
      <w:p w:rsidR="00A3228E" w:rsidRDefault="00A3228E">
        <w:pPr>
          <w:pStyle w:val="Piedepgina"/>
          <w:jc w:val="right"/>
        </w:pPr>
        <w:r>
          <w:fldChar w:fldCharType="begin"/>
        </w:r>
        <w:r>
          <w:instrText>PAGE   \* MERGEFORMAT</w:instrText>
        </w:r>
        <w:r>
          <w:fldChar w:fldCharType="separate"/>
        </w:r>
        <w:r w:rsidR="003906BB" w:rsidRPr="003906BB">
          <w:rPr>
            <w:noProof/>
            <w:lang w:val="es-ES"/>
          </w:rPr>
          <w:t>3</w:t>
        </w:r>
        <w:r>
          <w:fldChar w:fldCharType="end"/>
        </w:r>
      </w:p>
    </w:sdtContent>
  </w:sdt>
  <w:p w:rsidR="00A3228E" w:rsidRDefault="00A322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105" w:rsidRDefault="00AD4105" w:rsidP="00AD4105">
      <w:r>
        <w:separator/>
      </w:r>
    </w:p>
  </w:footnote>
  <w:footnote w:type="continuationSeparator" w:id="0">
    <w:p w:rsidR="00AD4105" w:rsidRDefault="00AD4105" w:rsidP="00AD4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05" w:rsidRPr="00AD4105" w:rsidRDefault="00AD4105">
    <w:pPr>
      <w:pStyle w:val="Encabezado"/>
      <w:rPr>
        <w:b/>
      </w:rPr>
    </w:pPr>
    <w:r>
      <w:rPr>
        <w:noProof/>
      </w:rPr>
      <w:drawing>
        <wp:anchor distT="0" distB="0" distL="114300" distR="114300" simplePos="0" relativeHeight="251659264" behindDoc="1" locked="0" layoutInCell="1" allowOverlap="1" wp14:anchorId="53853D1D" wp14:editId="3986656A">
          <wp:simplePos x="0" y="0"/>
          <wp:positionH relativeFrom="column">
            <wp:posOffset>-540385</wp:posOffset>
          </wp:positionH>
          <wp:positionV relativeFrom="paragraph">
            <wp:posOffset>-1905</wp:posOffset>
          </wp:positionV>
          <wp:extent cx="1654175" cy="1592580"/>
          <wp:effectExtent l="0" t="0" r="3175"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175" cy="1592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4DA0"/>
    <w:multiLevelType w:val="hybridMultilevel"/>
    <w:tmpl w:val="CBE836FC"/>
    <w:lvl w:ilvl="0" w:tplc="340A0011">
      <w:start w:val="6"/>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2ED40F5"/>
    <w:multiLevelType w:val="hybridMultilevel"/>
    <w:tmpl w:val="81E6FCE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24F0711"/>
    <w:multiLevelType w:val="hybridMultilevel"/>
    <w:tmpl w:val="228E1B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76E04EF"/>
    <w:multiLevelType w:val="hybridMultilevel"/>
    <w:tmpl w:val="84226C8E"/>
    <w:lvl w:ilvl="0" w:tplc="F672F390">
      <w:start w:val="1"/>
      <w:numFmt w:val="lowerLetter"/>
      <w:lvlText w:val="%1)"/>
      <w:lvlJc w:val="left"/>
      <w:pPr>
        <w:ind w:left="1080" w:hanging="360"/>
      </w:pPr>
      <w:rPr>
        <w:rFonts w:hint="default"/>
        <w:b/>
        <w:color w:val="1F497D" w:themeColor="text2"/>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58980CA0"/>
    <w:multiLevelType w:val="hybridMultilevel"/>
    <w:tmpl w:val="FC1C78D0"/>
    <w:lvl w:ilvl="0" w:tplc="340A0001">
      <w:start w:val="1"/>
      <w:numFmt w:val="bullet"/>
      <w:lvlText w:val=""/>
      <w:lvlJc w:val="left"/>
      <w:pPr>
        <w:ind w:left="502" w:hanging="360"/>
      </w:pPr>
      <w:rPr>
        <w:rFonts w:ascii="Symbol" w:hAnsi="Symbol" w:hint="default"/>
      </w:rPr>
    </w:lvl>
    <w:lvl w:ilvl="1" w:tplc="340A0003">
      <w:start w:val="1"/>
      <w:numFmt w:val="bullet"/>
      <w:lvlText w:val="o"/>
      <w:lvlJc w:val="left"/>
      <w:pPr>
        <w:ind w:left="1222" w:hanging="360"/>
      </w:pPr>
      <w:rPr>
        <w:rFonts w:ascii="Courier New" w:hAnsi="Courier New" w:cs="Courier New" w:hint="default"/>
      </w:rPr>
    </w:lvl>
    <w:lvl w:ilvl="2" w:tplc="340A0005">
      <w:start w:val="1"/>
      <w:numFmt w:val="bullet"/>
      <w:lvlText w:val=""/>
      <w:lvlJc w:val="left"/>
      <w:pPr>
        <w:ind w:left="1942" w:hanging="360"/>
      </w:pPr>
      <w:rPr>
        <w:rFonts w:ascii="Wingdings" w:hAnsi="Wingdings" w:hint="default"/>
      </w:rPr>
    </w:lvl>
    <w:lvl w:ilvl="3" w:tplc="340A0001">
      <w:start w:val="1"/>
      <w:numFmt w:val="bullet"/>
      <w:lvlText w:val=""/>
      <w:lvlJc w:val="left"/>
      <w:pPr>
        <w:ind w:left="2662" w:hanging="360"/>
      </w:pPr>
      <w:rPr>
        <w:rFonts w:ascii="Symbol" w:hAnsi="Symbol" w:hint="default"/>
      </w:rPr>
    </w:lvl>
    <w:lvl w:ilvl="4" w:tplc="340A0003">
      <w:start w:val="1"/>
      <w:numFmt w:val="bullet"/>
      <w:lvlText w:val="o"/>
      <w:lvlJc w:val="left"/>
      <w:pPr>
        <w:ind w:left="3382" w:hanging="360"/>
      </w:pPr>
      <w:rPr>
        <w:rFonts w:ascii="Courier New" w:hAnsi="Courier New" w:cs="Courier New" w:hint="default"/>
      </w:rPr>
    </w:lvl>
    <w:lvl w:ilvl="5" w:tplc="340A0005">
      <w:start w:val="1"/>
      <w:numFmt w:val="bullet"/>
      <w:lvlText w:val=""/>
      <w:lvlJc w:val="left"/>
      <w:pPr>
        <w:ind w:left="4102" w:hanging="360"/>
      </w:pPr>
      <w:rPr>
        <w:rFonts w:ascii="Wingdings" w:hAnsi="Wingdings" w:hint="default"/>
      </w:rPr>
    </w:lvl>
    <w:lvl w:ilvl="6" w:tplc="340A0001">
      <w:start w:val="1"/>
      <w:numFmt w:val="bullet"/>
      <w:lvlText w:val=""/>
      <w:lvlJc w:val="left"/>
      <w:pPr>
        <w:ind w:left="4822" w:hanging="360"/>
      </w:pPr>
      <w:rPr>
        <w:rFonts w:ascii="Symbol" w:hAnsi="Symbol" w:hint="default"/>
      </w:rPr>
    </w:lvl>
    <w:lvl w:ilvl="7" w:tplc="340A0003">
      <w:start w:val="1"/>
      <w:numFmt w:val="bullet"/>
      <w:lvlText w:val="o"/>
      <w:lvlJc w:val="left"/>
      <w:pPr>
        <w:ind w:left="5542" w:hanging="360"/>
      </w:pPr>
      <w:rPr>
        <w:rFonts w:ascii="Courier New" w:hAnsi="Courier New" w:cs="Courier New" w:hint="default"/>
      </w:rPr>
    </w:lvl>
    <w:lvl w:ilvl="8" w:tplc="340A0005">
      <w:start w:val="1"/>
      <w:numFmt w:val="bullet"/>
      <w:lvlText w:val=""/>
      <w:lvlJc w:val="left"/>
      <w:pPr>
        <w:ind w:left="6262" w:hanging="360"/>
      </w:pPr>
      <w:rPr>
        <w:rFonts w:ascii="Wingdings" w:hAnsi="Wingdings" w:hint="default"/>
      </w:rPr>
    </w:lvl>
  </w:abstractNum>
  <w:abstractNum w:abstractNumId="5">
    <w:nsid w:val="725A37B2"/>
    <w:multiLevelType w:val="hybridMultilevel"/>
    <w:tmpl w:val="4376533A"/>
    <w:lvl w:ilvl="0" w:tplc="DC80D55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nsid w:val="747039E9"/>
    <w:multiLevelType w:val="hybridMultilevel"/>
    <w:tmpl w:val="40847E5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F4C68EF"/>
    <w:multiLevelType w:val="hybridMultilevel"/>
    <w:tmpl w:val="3FBC93C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
  </w:num>
  <w:num w:numId="2">
    <w:abstractNumId w:val="4"/>
  </w:num>
  <w:num w:numId="3">
    <w:abstractNumId w:val="1"/>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105"/>
    <w:rsid w:val="0012218E"/>
    <w:rsid w:val="00294386"/>
    <w:rsid w:val="002F57AE"/>
    <w:rsid w:val="003509A4"/>
    <w:rsid w:val="003906BB"/>
    <w:rsid w:val="004A6352"/>
    <w:rsid w:val="00705322"/>
    <w:rsid w:val="007A7827"/>
    <w:rsid w:val="007F2F23"/>
    <w:rsid w:val="00A15DFB"/>
    <w:rsid w:val="00A3228E"/>
    <w:rsid w:val="00AA4C41"/>
    <w:rsid w:val="00AA7557"/>
    <w:rsid w:val="00AD4105"/>
    <w:rsid w:val="00CE5C7A"/>
    <w:rsid w:val="00D03842"/>
    <w:rsid w:val="00DB2B67"/>
    <w:rsid w:val="00E0006D"/>
    <w:rsid w:val="00E04547"/>
    <w:rsid w:val="00EF252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06D"/>
    <w:pPr>
      <w:spacing w:after="0" w:line="240" w:lineRule="auto"/>
    </w:pPr>
    <w:rPr>
      <w:rFonts w:ascii="Times New Roman" w:hAnsi="Times New Roman" w:cs="Times New Roman"/>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4105"/>
    <w:pPr>
      <w:tabs>
        <w:tab w:val="center" w:pos="4419"/>
        <w:tab w:val="right" w:pos="8838"/>
      </w:tabs>
    </w:pPr>
  </w:style>
  <w:style w:type="character" w:customStyle="1" w:styleId="EncabezadoCar">
    <w:name w:val="Encabezado Car"/>
    <w:basedOn w:val="Fuentedeprrafopredeter"/>
    <w:link w:val="Encabezado"/>
    <w:uiPriority w:val="99"/>
    <w:rsid w:val="00AD4105"/>
  </w:style>
  <w:style w:type="paragraph" w:styleId="Piedepgina">
    <w:name w:val="footer"/>
    <w:basedOn w:val="Normal"/>
    <w:link w:val="PiedepginaCar"/>
    <w:uiPriority w:val="99"/>
    <w:unhideWhenUsed/>
    <w:rsid w:val="00AD4105"/>
    <w:pPr>
      <w:tabs>
        <w:tab w:val="center" w:pos="4419"/>
        <w:tab w:val="right" w:pos="8838"/>
      </w:tabs>
    </w:pPr>
  </w:style>
  <w:style w:type="character" w:customStyle="1" w:styleId="PiedepginaCar">
    <w:name w:val="Pie de página Car"/>
    <w:basedOn w:val="Fuentedeprrafopredeter"/>
    <w:link w:val="Piedepgina"/>
    <w:uiPriority w:val="99"/>
    <w:rsid w:val="00AD4105"/>
  </w:style>
  <w:style w:type="paragraph" w:styleId="Prrafodelista">
    <w:name w:val="List Paragraph"/>
    <w:basedOn w:val="Normal"/>
    <w:uiPriority w:val="34"/>
    <w:qFormat/>
    <w:rsid w:val="00E000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06D"/>
    <w:pPr>
      <w:spacing w:after="0" w:line="240" w:lineRule="auto"/>
    </w:pPr>
    <w:rPr>
      <w:rFonts w:ascii="Times New Roman" w:hAnsi="Times New Roman" w:cs="Times New Roman"/>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4105"/>
    <w:pPr>
      <w:tabs>
        <w:tab w:val="center" w:pos="4419"/>
        <w:tab w:val="right" w:pos="8838"/>
      </w:tabs>
    </w:pPr>
  </w:style>
  <w:style w:type="character" w:customStyle="1" w:styleId="EncabezadoCar">
    <w:name w:val="Encabezado Car"/>
    <w:basedOn w:val="Fuentedeprrafopredeter"/>
    <w:link w:val="Encabezado"/>
    <w:uiPriority w:val="99"/>
    <w:rsid w:val="00AD4105"/>
  </w:style>
  <w:style w:type="paragraph" w:styleId="Piedepgina">
    <w:name w:val="footer"/>
    <w:basedOn w:val="Normal"/>
    <w:link w:val="PiedepginaCar"/>
    <w:uiPriority w:val="99"/>
    <w:unhideWhenUsed/>
    <w:rsid w:val="00AD4105"/>
    <w:pPr>
      <w:tabs>
        <w:tab w:val="center" w:pos="4419"/>
        <w:tab w:val="right" w:pos="8838"/>
      </w:tabs>
    </w:pPr>
  </w:style>
  <w:style w:type="character" w:customStyle="1" w:styleId="PiedepginaCar">
    <w:name w:val="Pie de página Car"/>
    <w:basedOn w:val="Fuentedeprrafopredeter"/>
    <w:link w:val="Piedepgina"/>
    <w:uiPriority w:val="99"/>
    <w:rsid w:val="00AD4105"/>
  </w:style>
  <w:style w:type="paragraph" w:styleId="Prrafodelista">
    <w:name w:val="List Paragraph"/>
    <w:basedOn w:val="Normal"/>
    <w:uiPriority w:val="34"/>
    <w:qFormat/>
    <w:rsid w:val="00E00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080402">
      <w:bodyDiv w:val="1"/>
      <w:marLeft w:val="0"/>
      <w:marRight w:val="0"/>
      <w:marTop w:val="0"/>
      <w:marBottom w:val="0"/>
      <w:divBdr>
        <w:top w:val="none" w:sz="0" w:space="0" w:color="auto"/>
        <w:left w:val="none" w:sz="0" w:space="0" w:color="auto"/>
        <w:bottom w:val="none" w:sz="0" w:space="0" w:color="auto"/>
        <w:right w:val="none" w:sz="0" w:space="0" w:color="auto"/>
      </w:divBdr>
    </w:div>
    <w:div w:id="978614880">
      <w:bodyDiv w:val="1"/>
      <w:marLeft w:val="0"/>
      <w:marRight w:val="0"/>
      <w:marTop w:val="0"/>
      <w:marBottom w:val="0"/>
      <w:divBdr>
        <w:top w:val="none" w:sz="0" w:space="0" w:color="auto"/>
        <w:left w:val="none" w:sz="0" w:space="0" w:color="auto"/>
        <w:bottom w:val="none" w:sz="0" w:space="0" w:color="auto"/>
        <w:right w:val="none" w:sz="0" w:space="0" w:color="auto"/>
      </w:divBdr>
    </w:div>
    <w:div w:id="1111626318">
      <w:bodyDiv w:val="1"/>
      <w:marLeft w:val="0"/>
      <w:marRight w:val="0"/>
      <w:marTop w:val="0"/>
      <w:marBottom w:val="0"/>
      <w:divBdr>
        <w:top w:val="none" w:sz="0" w:space="0" w:color="auto"/>
        <w:left w:val="none" w:sz="0" w:space="0" w:color="auto"/>
        <w:bottom w:val="none" w:sz="0" w:space="0" w:color="auto"/>
        <w:right w:val="none" w:sz="0" w:space="0" w:color="auto"/>
      </w:divBdr>
    </w:div>
    <w:div w:id="181058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astapublica@subpesca.c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3</Pages>
  <Words>930</Words>
  <Characters>5117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Ortiz</dc:creator>
  <cp:lastModifiedBy>Francisco Ortiz</cp:lastModifiedBy>
  <cp:revision>18</cp:revision>
  <dcterms:created xsi:type="dcterms:W3CDTF">2016-12-02T15:23:00Z</dcterms:created>
  <dcterms:modified xsi:type="dcterms:W3CDTF">2016-12-05T11:57:00Z</dcterms:modified>
</cp:coreProperties>
</file>