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0E" w:rsidRDefault="008E530E" w:rsidP="00BF25C4">
      <w:pPr>
        <w:spacing w:after="0"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  <w:bookmarkStart w:id="0" w:name="_GoBack"/>
      <w:bookmarkEnd w:id="0"/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  <w:b/>
          <w:sz w:val="24"/>
          <w:szCs w:val="24"/>
          <w:lang w:eastAsia="es-CL"/>
        </w:rPr>
      </w:pPr>
      <w:r w:rsidRPr="00BF25C4">
        <w:rPr>
          <w:rFonts w:ascii="gobCL" w:hAnsi="gobCL"/>
          <w:b/>
          <w:sz w:val="24"/>
          <w:szCs w:val="24"/>
          <w:lang w:eastAsia="es-CL"/>
        </w:rPr>
        <w:t xml:space="preserve">Aclaraciones a las bases dirigidas al correo electrónico </w:t>
      </w:r>
      <w:hyperlink r:id="rId8" w:history="1">
        <w:r w:rsidRPr="00BF25C4">
          <w:rPr>
            <w:rFonts w:ascii="gobCL" w:hAnsi="gobCL"/>
            <w:b/>
            <w:sz w:val="24"/>
            <w:szCs w:val="24"/>
            <w:lang w:eastAsia="es-CL"/>
          </w:rPr>
          <w:t>subastapublica@subpesca.cl</w:t>
        </w:r>
      </w:hyperlink>
      <w:r w:rsidRPr="00BF25C4">
        <w:rPr>
          <w:rFonts w:ascii="gobCL" w:hAnsi="gobCL"/>
          <w:b/>
          <w:sz w:val="24"/>
          <w:szCs w:val="24"/>
          <w:lang w:eastAsia="es-CL"/>
        </w:rPr>
        <w:t xml:space="preserve"> a la fecha de </w:t>
      </w:r>
      <w:r w:rsidR="00EA799A">
        <w:rPr>
          <w:rFonts w:ascii="gobCL" w:hAnsi="gobCL"/>
          <w:b/>
          <w:sz w:val="24"/>
          <w:szCs w:val="24"/>
          <w:lang w:eastAsia="es-CL"/>
        </w:rPr>
        <w:t>01</w:t>
      </w:r>
      <w:r w:rsidRPr="00BF25C4">
        <w:rPr>
          <w:rFonts w:ascii="gobCL" w:hAnsi="gobCL"/>
          <w:b/>
          <w:sz w:val="24"/>
          <w:szCs w:val="24"/>
          <w:lang w:eastAsia="es-CL"/>
        </w:rPr>
        <w:t xml:space="preserve"> de </w:t>
      </w:r>
      <w:r w:rsidR="00EA799A">
        <w:rPr>
          <w:rFonts w:ascii="gobCL" w:hAnsi="gobCL"/>
          <w:b/>
          <w:sz w:val="24"/>
          <w:szCs w:val="24"/>
          <w:lang w:eastAsia="es-CL"/>
        </w:rPr>
        <w:t>diciembre</w:t>
      </w:r>
      <w:r w:rsidRPr="00BF25C4">
        <w:rPr>
          <w:rFonts w:ascii="gobCL" w:hAnsi="gobCL"/>
          <w:b/>
          <w:sz w:val="24"/>
          <w:szCs w:val="24"/>
          <w:lang w:eastAsia="es-CL"/>
        </w:rPr>
        <w:t xml:space="preserve"> de 201</w:t>
      </w:r>
      <w:r w:rsidR="00EA799A">
        <w:rPr>
          <w:rFonts w:ascii="gobCL" w:hAnsi="gobCL"/>
          <w:b/>
          <w:sz w:val="24"/>
          <w:szCs w:val="24"/>
          <w:lang w:eastAsia="es-CL"/>
        </w:rPr>
        <w:t>6</w:t>
      </w:r>
      <w:r w:rsidRPr="00BF25C4">
        <w:rPr>
          <w:rFonts w:ascii="gobCL" w:hAnsi="gobCL"/>
          <w:b/>
          <w:sz w:val="24"/>
          <w:szCs w:val="24"/>
          <w:lang w:eastAsia="es-CL"/>
        </w:rPr>
        <w:t>, según el orden de llegada y dentro del plazo de 72 horas.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  <w:b/>
          <w:u w:val="single"/>
        </w:rPr>
      </w:pPr>
    </w:p>
    <w:p w:rsidR="00BF25C4" w:rsidRPr="00BF25C4" w:rsidRDefault="00BF25C4" w:rsidP="00BF25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obCL" w:hAnsi="gobCL"/>
          <w:b/>
          <w:color w:val="1F497D" w:themeColor="text2"/>
        </w:rPr>
      </w:pPr>
      <w:r w:rsidRPr="00BF25C4">
        <w:rPr>
          <w:rFonts w:ascii="gobCL" w:hAnsi="gobCL"/>
          <w:b/>
          <w:color w:val="1F497D" w:themeColor="text2"/>
        </w:rPr>
        <w:t>Confirmar si un oferente, distinto a empresas de menor tamaño, podría adjudicarse 4 Lotes de 75,2 toneladas cada uno, esto es 300.8 toneladas, considerando que estaría en el límite del 40% que un oferente se puede adjudicar de las 751,8 toneladas totales destinadas a su sector (751,8 * 0,40 = 300,738 toneladas).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 xml:space="preserve">De acuerdo con el D.S. N° 103 de 2015, Artículo 5°, inciso iv, párrafo segundo, se señala: “Ningún participante de la subasta podrá adjudicarse </w:t>
      </w:r>
      <w:r w:rsidRPr="00BF25C4">
        <w:rPr>
          <w:rFonts w:ascii="gobCL" w:hAnsi="gobCL"/>
          <w:b/>
        </w:rPr>
        <w:t>más del 40% de la cuota a subastar</w:t>
      </w:r>
      <w:r w:rsidRPr="00BF25C4">
        <w:rPr>
          <w:rFonts w:ascii="gobCL" w:hAnsi="gobCL"/>
        </w:rPr>
        <w:t>, independientemente de la cantidad de los lotes, en conformidad a lo dispuesto en el artículo 12 del presente Reglamento”.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 xml:space="preserve">A su vez el Artículo 12° del mismo Reglamento indica en párrafo primero: “Ninguna persona podrá adjudicarse un porcentaje superior al </w:t>
      </w:r>
      <w:r w:rsidRPr="00BF25C4">
        <w:rPr>
          <w:rFonts w:ascii="gobCL" w:hAnsi="gobCL"/>
          <w:b/>
        </w:rPr>
        <w:t>40% del total a subastar</w:t>
      </w:r>
      <w:r w:rsidRPr="00BF25C4">
        <w:rPr>
          <w:rFonts w:ascii="gobCL" w:hAnsi="gobCL"/>
        </w:rPr>
        <w:t>, ya sea directamente o a través de terceras personas naturales o jurídicas con las que se relacione como filial, matriz, coligada o coligante conforme a lo señalado en el artículo 8° del presente reglamento”.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Por tanto, el límite de adjudicación para cualquier participante es del 40% de la de la cuota a subastar, independientemente de la cantidad de los lotes. Lo anterior implica que este 40% no está referido a un tipo de lote en particular, sino que aplica a la totalidad de la cuota a subastar.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Tabla 1: Cuota a licitar LTP B Anchoveta III-IV</w:t>
      </w:r>
    </w:p>
    <w:p w:rsidR="00090492" w:rsidRPr="00BF25C4" w:rsidRDefault="00090492" w:rsidP="00BF25C4">
      <w:pPr>
        <w:spacing w:after="0" w:line="240" w:lineRule="auto"/>
        <w:jc w:val="both"/>
        <w:rPr>
          <w:rFonts w:ascii="gobCL" w:hAnsi="gobCL"/>
        </w:rPr>
      </w:pPr>
    </w:p>
    <w:tbl>
      <w:tblPr>
        <w:tblW w:w="3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1046"/>
      </w:tblGrid>
      <w:tr w:rsidR="00EA799A" w:rsidRPr="00BF25C4" w:rsidTr="00600482">
        <w:trPr>
          <w:trHeight w:val="33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Anchoveta III-IV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</w:p>
        </w:tc>
      </w:tr>
      <w:tr w:rsidR="00EA799A" w:rsidRPr="00BF25C4" w:rsidTr="00600482">
        <w:trPr>
          <w:trHeight w:val="330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Cuota global 2017  ton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50.700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Fracción industrial 2017 ton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25.061,50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5% Fracción industrial 2017 ton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1.253,1</w:t>
            </w:r>
          </w:p>
        </w:tc>
      </w:tr>
      <w:tr w:rsidR="00EA799A" w:rsidRPr="00BF25C4" w:rsidTr="00600482">
        <w:trPr>
          <w:trHeight w:val="330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Cuota ton a licitar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1.253,1</w:t>
            </w:r>
          </w:p>
        </w:tc>
      </w:tr>
      <w:tr w:rsidR="00EA799A" w:rsidRPr="00BF25C4" w:rsidTr="00600482">
        <w:trPr>
          <w:trHeight w:val="330"/>
          <w:jc w:val="center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Cuota 40% ton a licitar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501,2</w:t>
            </w:r>
          </w:p>
        </w:tc>
      </w:tr>
    </w:tbl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En Tabla 1 se indica que la cuota a licitar es de 1.253,1 toneladas (100%), luego el 40% de esta cuota es de 501,2 toneladas.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En el caso del tipo de lotes “Sin restricción de oferente”, hay diversas combinaciones de lotes que permiten alcanzar este límite de 501,2 toneladas. A efectos ilustrativos se presentan los siguientes ejemplos en Tablas 2 y 3.</w:t>
      </w:r>
    </w:p>
    <w:p w:rsid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176FAB" w:rsidRDefault="00176FAB" w:rsidP="00BF25C4">
      <w:pPr>
        <w:spacing w:after="0" w:line="240" w:lineRule="auto"/>
        <w:jc w:val="both"/>
        <w:rPr>
          <w:rFonts w:ascii="gobCL" w:hAnsi="gobCL"/>
        </w:rPr>
      </w:pPr>
    </w:p>
    <w:p w:rsidR="00176FAB" w:rsidRDefault="00176FAB" w:rsidP="00BF25C4">
      <w:pPr>
        <w:spacing w:after="0" w:line="240" w:lineRule="auto"/>
        <w:jc w:val="both"/>
        <w:rPr>
          <w:rFonts w:ascii="gobCL" w:hAnsi="gobCL"/>
        </w:rPr>
      </w:pPr>
    </w:p>
    <w:p w:rsidR="00176FAB" w:rsidRDefault="00176FAB" w:rsidP="00BF25C4">
      <w:pPr>
        <w:spacing w:after="0" w:line="240" w:lineRule="auto"/>
        <w:jc w:val="both"/>
        <w:rPr>
          <w:rFonts w:ascii="gobCL" w:hAnsi="gobCL"/>
        </w:rPr>
      </w:pPr>
    </w:p>
    <w:p w:rsidR="00176FAB" w:rsidRDefault="00176FAB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Tabla 2: Ejemplo 40% cuota a licitar</w:t>
      </w:r>
    </w:p>
    <w:tbl>
      <w:tblPr>
        <w:tblW w:w="3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EA799A" w:rsidRPr="00BF25C4" w:rsidTr="00600482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Lote N°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 xml:space="preserve">%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toneladas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100,2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100,2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501,2</w:t>
            </w:r>
          </w:p>
        </w:tc>
      </w:tr>
    </w:tbl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Tabla 3: Ejemplo 40% cuota a licitar</w:t>
      </w:r>
    </w:p>
    <w:tbl>
      <w:tblPr>
        <w:tblW w:w="3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EA799A" w:rsidRPr="00BF25C4" w:rsidTr="00600482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Lote N°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 xml:space="preserve">%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b/>
                <w:bCs/>
                <w:lang w:eastAsia="es-CL"/>
              </w:rPr>
              <w:t>toneladas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75,2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87,7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87,7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100,2</w:t>
            </w:r>
          </w:p>
        </w:tc>
      </w:tr>
      <w:tr w:rsidR="00EA799A" w:rsidRPr="00BF25C4" w:rsidTr="00600482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4" w:rsidRPr="00BF25C4" w:rsidRDefault="00BF25C4" w:rsidP="00BF25C4">
            <w:pPr>
              <w:spacing w:after="0" w:line="240" w:lineRule="auto"/>
              <w:jc w:val="both"/>
              <w:rPr>
                <w:rFonts w:ascii="gobCL" w:eastAsia="Times New Roman" w:hAnsi="gobCL" w:cs="Times New Roman"/>
                <w:lang w:eastAsia="es-CL"/>
              </w:rPr>
            </w:pPr>
            <w:r w:rsidRPr="00BF25C4">
              <w:rPr>
                <w:rFonts w:ascii="gobCL" w:eastAsia="Times New Roman" w:hAnsi="gobCL" w:cs="Times New Roman"/>
                <w:lang w:eastAsia="es-CL"/>
              </w:rPr>
              <w:t>501,2</w:t>
            </w:r>
          </w:p>
        </w:tc>
      </w:tr>
    </w:tbl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 xml:space="preserve">Se debe tener presente por lo </w:t>
      </w:r>
      <w:r w:rsidR="00EA799A">
        <w:rPr>
          <w:rFonts w:ascii="gobCL" w:hAnsi="gobCL"/>
        </w:rPr>
        <w:t xml:space="preserve"> tanto,</w:t>
      </w:r>
      <w:r w:rsidRPr="00BF25C4">
        <w:rPr>
          <w:rFonts w:ascii="gobCL" w:hAnsi="gobCL"/>
        </w:rPr>
        <w:t xml:space="preserve"> que el límite del 40% es por el total de la cuota a subastar, y no por los lotes de empresas de menor tamaño y todo oferente individualmente considerados.</w:t>
      </w: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</w:rPr>
      </w:pPr>
    </w:p>
    <w:p w:rsidR="00BF25C4" w:rsidRPr="007F5987" w:rsidRDefault="00BF25C4" w:rsidP="00BF25C4">
      <w:pPr>
        <w:numPr>
          <w:ilvl w:val="0"/>
          <w:numId w:val="1"/>
        </w:numPr>
        <w:spacing w:line="240" w:lineRule="auto"/>
        <w:contextualSpacing/>
        <w:jc w:val="both"/>
        <w:rPr>
          <w:rFonts w:ascii="gobCL" w:hAnsi="gobCL" w:cs="Arial"/>
          <w:b/>
          <w:color w:val="1F497D" w:themeColor="text2"/>
        </w:rPr>
      </w:pPr>
      <w:r w:rsidRPr="00BF25C4">
        <w:rPr>
          <w:rFonts w:ascii="gobCL" w:hAnsi="gobCL" w:cs="Arial"/>
          <w:b/>
          <w:color w:val="1F497D" w:themeColor="text2"/>
        </w:rPr>
        <w:t xml:space="preserve">En relación a próximas Subastas, mucho agradeceremos tenga a bien confirmar si para la acreditación del punto 8.- b) de Bases de Subasta, según resoluciones 3485, 3484; </w:t>
      </w:r>
      <w:r w:rsidRPr="00BF25C4">
        <w:rPr>
          <w:rFonts w:ascii="Courier New" w:hAnsi="Courier New" w:cs="Courier New"/>
          <w:b/>
          <w:color w:val="1F497D" w:themeColor="text2"/>
        </w:rPr>
        <w:t> </w:t>
      </w:r>
      <w:r w:rsidRPr="00BF25C4">
        <w:rPr>
          <w:rFonts w:ascii="gobCL" w:hAnsi="gobCL" w:cs="Arial"/>
          <w:b/>
          <w:color w:val="1F497D" w:themeColor="text2"/>
        </w:rPr>
        <w:t>11 b) de resoluci</w:t>
      </w:r>
      <w:r w:rsidRPr="00BF25C4">
        <w:rPr>
          <w:rFonts w:ascii="gobCL" w:hAnsi="gobCL" w:cs="gobCL"/>
          <w:b/>
          <w:color w:val="1F497D" w:themeColor="text2"/>
        </w:rPr>
        <w:t>ó</w:t>
      </w:r>
      <w:r w:rsidRPr="00BF25C4">
        <w:rPr>
          <w:rFonts w:ascii="gobCL" w:hAnsi="gobCL" w:cs="Arial"/>
          <w:b/>
          <w:color w:val="1F497D" w:themeColor="text2"/>
        </w:rPr>
        <w:t>n 3486, y 8 a) de resolución 3500, todas de 2016, de esa Subsecretar</w:t>
      </w:r>
      <w:r w:rsidRPr="00BF25C4">
        <w:rPr>
          <w:rFonts w:ascii="gobCL" w:hAnsi="gobCL" w:cs="gobCL"/>
          <w:b/>
          <w:color w:val="1F497D" w:themeColor="text2"/>
        </w:rPr>
        <w:t>í</w:t>
      </w:r>
      <w:r w:rsidRPr="00BF25C4">
        <w:rPr>
          <w:rFonts w:ascii="gobCL" w:hAnsi="gobCL" w:cs="Arial"/>
          <w:b/>
          <w:color w:val="1F497D" w:themeColor="text2"/>
        </w:rPr>
        <w:t xml:space="preserve">a de Pesca, </w:t>
      </w:r>
      <w:r w:rsidRPr="00BF25C4">
        <w:rPr>
          <w:rFonts w:ascii="Courier New" w:hAnsi="Courier New" w:cs="Courier New"/>
          <w:b/>
          <w:color w:val="1F497D" w:themeColor="text2"/>
        </w:rPr>
        <w:t> </w:t>
      </w:r>
      <w:r w:rsidRPr="00BF25C4">
        <w:rPr>
          <w:rFonts w:ascii="gobCL" w:hAnsi="gobCL" w:cs="Arial"/>
          <w:b/>
          <w:color w:val="1F497D" w:themeColor="text2"/>
        </w:rPr>
        <w:t>referida a acreditar vigencia de la sociedad como vigencia del poder, si en todos es suficiente con Certificado del Conservador de Bienes Ra</w:t>
      </w:r>
      <w:r w:rsidRPr="00BF25C4">
        <w:rPr>
          <w:rFonts w:ascii="gobCL" w:hAnsi="gobCL" w:cs="gobCL"/>
          <w:b/>
          <w:color w:val="1F497D" w:themeColor="text2"/>
        </w:rPr>
        <w:t>í</w:t>
      </w:r>
      <w:r w:rsidRPr="00BF25C4">
        <w:rPr>
          <w:rFonts w:ascii="gobCL" w:hAnsi="gobCL" w:cs="Arial"/>
          <w:b/>
          <w:color w:val="1F497D" w:themeColor="text2"/>
        </w:rPr>
        <w:t xml:space="preserve">ces, tanto en subasta PEP, como subasta LTP. </w:t>
      </w:r>
    </w:p>
    <w:p w:rsidR="00BF25C4" w:rsidRPr="00BF25C4" w:rsidRDefault="00BF25C4" w:rsidP="00EA799A">
      <w:pPr>
        <w:spacing w:line="240" w:lineRule="auto"/>
        <w:ind w:left="720"/>
        <w:contextualSpacing/>
        <w:jc w:val="both"/>
        <w:rPr>
          <w:rFonts w:ascii="gobCL" w:hAnsi="gobCL" w:cs="Arial"/>
        </w:rPr>
      </w:pP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b/>
          <w:u w:val="single"/>
          <w:lang w:val="es-ES"/>
        </w:rPr>
      </w:pPr>
      <w:r w:rsidRPr="00BF25C4">
        <w:rPr>
          <w:rFonts w:ascii="gobCL" w:hAnsi="gobCL"/>
          <w:b/>
          <w:u w:val="single"/>
          <w:lang w:val="es-ES"/>
        </w:rPr>
        <w:t>Permisos Extraordinarios de Pesca</w:t>
      </w:r>
    </w:p>
    <w:p w:rsidR="00BF25C4" w:rsidRPr="00BF25C4" w:rsidRDefault="00EA799A" w:rsidP="00BF25C4">
      <w:pPr>
        <w:spacing w:line="240" w:lineRule="auto"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Tal</w:t>
      </w:r>
      <w:r w:rsidR="00BF25C4" w:rsidRPr="00BF25C4">
        <w:rPr>
          <w:rFonts w:ascii="gobCL" w:hAnsi="gobCL"/>
          <w:lang w:val="es-ES"/>
        </w:rPr>
        <w:t xml:space="preserve"> como lo indican las Bases Administrativas, en el sobre Nº 1, deben acompañarse a la postulación los </w:t>
      </w:r>
      <w:r w:rsidR="00BF25C4" w:rsidRPr="00BF25C4">
        <w:rPr>
          <w:rFonts w:ascii="gobCL" w:hAnsi="gobCL"/>
          <w:b/>
          <w:bCs/>
          <w:lang w:val="es-ES"/>
        </w:rPr>
        <w:t>certificados de vigencia de la sociedad y de los representantes legales</w:t>
      </w:r>
      <w:r w:rsidR="00BF25C4" w:rsidRPr="00BF25C4">
        <w:rPr>
          <w:rFonts w:ascii="gobCL" w:hAnsi="gobCL"/>
          <w:lang w:val="es-ES"/>
        </w:rPr>
        <w:t>, los que deberán tener una vigencia no superior a 6 meses.</w:t>
      </w: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lang w:val="es-ES"/>
        </w:rPr>
      </w:pPr>
      <w:r w:rsidRPr="00BF25C4">
        <w:rPr>
          <w:rFonts w:ascii="gobCL" w:hAnsi="gobCL"/>
          <w:lang w:val="es-ES"/>
        </w:rPr>
        <w:t xml:space="preserve">Asimismo, se indica que se entenderán cumplidos estos requisitos si acompañan </w:t>
      </w:r>
      <w:r w:rsidRPr="00BF25C4">
        <w:rPr>
          <w:rFonts w:ascii="gobCL" w:hAnsi="gobCL"/>
          <w:b/>
          <w:bCs/>
          <w:lang w:val="es-ES"/>
        </w:rPr>
        <w:t>certificado de inscripción en el Registro Pesquero Industrial o Artesanal</w:t>
      </w:r>
      <w:r w:rsidRPr="00BF25C4">
        <w:rPr>
          <w:rFonts w:ascii="gobCL" w:hAnsi="gobCL"/>
          <w:lang w:val="es-ES"/>
        </w:rPr>
        <w:t xml:space="preserve">, según sea el caso, con una antigüedad no superior a 1 mes contado desde la fecha de la subasta. </w:t>
      </w: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lang w:val="es-ES"/>
        </w:rPr>
      </w:pPr>
      <w:r w:rsidRPr="00BF25C4">
        <w:rPr>
          <w:rFonts w:ascii="gobCL" w:hAnsi="gobCL"/>
          <w:lang w:val="es-ES"/>
        </w:rPr>
        <w:t xml:space="preserve">Además se deberá acompañar la </w:t>
      </w:r>
      <w:r w:rsidRPr="00BF25C4">
        <w:rPr>
          <w:rFonts w:ascii="gobCL" w:hAnsi="gobCL"/>
          <w:b/>
          <w:bCs/>
          <w:lang w:val="es-ES"/>
        </w:rPr>
        <w:t>declaración jurada</w:t>
      </w:r>
      <w:r w:rsidRPr="00BF25C4">
        <w:rPr>
          <w:rFonts w:ascii="gobCL" w:hAnsi="gobCL"/>
          <w:lang w:val="es-ES"/>
        </w:rPr>
        <w:t xml:space="preserve"> indicada en la letra d) del numeral 11 de las Bases Administrativas y la </w:t>
      </w:r>
      <w:r w:rsidRPr="00BF25C4">
        <w:rPr>
          <w:rFonts w:ascii="gobCL" w:hAnsi="gobCL"/>
          <w:b/>
          <w:bCs/>
          <w:lang w:val="es-ES"/>
        </w:rPr>
        <w:t>garantía de seriedad de la oferta</w:t>
      </w:r>
      <w:r w:rsidRPr="00BF25C4">
        <w:rPr>
          <w:rFonts w:ascii="gobCL" w:hAnsi="gobCL"/>
          <w:lang w:val="es-ES"/>
        </w:rPr>
        <w:t>.</w:t>
      </w:r>
    </w:p>
    <w:p w:rsidR="00176FAB" w:rsidRDefault="00176FAB" w:rsidP="00BF25C4">
      <w:pPr>
        <w:spacing w:line="240" w:lineRule="auto"/>
        <w:jc w:val="both"/>
        <w:rPr>
          <w:rFonts w:ascii="gobCL" w:hAnsi="gobCL"/>
          <w:lang w:val="es-ES"/>
        </w:rPr>
      </w:pP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lang w:val="es-ES"/>
        </w:rPr>
      </w:pPr>
      <w:r w:rsidRPr="00BF25C4">
        <w:rPr>
          <w:rFonts w:ascii="gobCL" w:hAnsi="gobCL"/>
          <w:lang w:val="es-ES"/>
        </w:rPr>
        <w:t xml:space="preserve">Por otro lado, se indica que podrán participar en el proceso de apertura de sobres Nº 2 y Nº 3, que se celebrará el día 15 de diciembre, hasta 2 representantes por oferente que deben tener el respectivo </w:t>
      </w:r>
      <w:r w:rsidRPr="00BF25C4">
        <w:rPr>
          <w:rFonts w:ascii="gobCL" w:hAnsi="gobCL"/>
          <w:b/>
          <w:bCs/>
          <w:lang w:val="es-ES"/>
        </w:rPr>
        <w:t>poder vigente</w:t>
      </w:r>
      <w:r w:rsidRPr="00BF25C4">
        <w:rPr>
          <w:rFonts w:ascii="gobCL" w:hAnsi="gobCL"/>
          <w:lang w:val="es-ES"/>
        </w:rPr>
        <w:t>.</w:t>
      </w: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b/>
          <w:u w:val="single"/>
          <w:lang w:val="es-ES"/>
        </w:rPr>
      </w:pPr>
      <w:r w:rsidRPr="00BF25C4">
        <w:rPr>
          <w:rFonts w:ascii="gobCL" w:hAnsi="gobCL"/>
          <w:b/>
          <w:u w:val="single"/>
          <w:lang w:val="es-ES"/>
        </w:rPr>
        <w:t xml:space="preserve">Licencias </w:t>
      </w:r>
      <w:r w:rsidR="00E10DA2">
        <w:rPr>
          <w:rFonts w:ascii="gobCL" w:hAnsi="gobCL"/>
          <w:b/>
          <w:u w:val="single"/>
          <w:lang w:val="es-ES"/>
        </w:rPr>
        <w:t>T</w:t>
      </w:r>
      <w:r w:rsidRPr="00BF25C4">
        <w:rPr>
          <w:rFonts w:ascii="gobCL" w:hAnsi="gobCL"/>
          <w:b/>
          <w:u w:val="single"/>
          <w:lang w:val="es-ES"/>
        </w:rPr>
        <w:t xml:space="preserve">ransables de </w:t>
      </w:r>
      <w:r w:rsidR="00E10DA2">
        <w:rPr>
          <w:rFonts w:ascii="gobCL" w:hAnsi="gobCL"/>
          <w:b/>
          <w:u w:val="single"/>
          <w:lang w:val="es-ES"/>
        </w:rPr>
        <w:t>P</w:t>
      </w:r>
      <w:r w:rsidRPr="00BF25C4">
        <w:rPr>
          <w:rFonts w:ascii="gobCL" w:hAnsi="gobCL"/>
          <w:b/>
          <w:u w:val="single"/>
          <w:lang w:val="es-ES"/>
        </w:rPr>
        <w:t xml:space="preserve">esca </w:t>
      </w:r>
      <w:r w:rsidR="00E10DA2">
        <w:rPr>
          <w:rFonts w:ascii="gobCL" w:hAnsi="gobCL"/>
          <w:b/>
          <w:u w:val="single"/>
          <w:lang w:val="es-ES"/>
        </w:rPr>
        <w:t>C</w:t>
      </w:r>
      <w:r w:rsidRPr="00BF25C4">
        <w:rPr>
          <w:rFonts w:ascii="gobCL" w:hAnsi="gobCL"/>
          <w:b/>
          <w:u w:val="single"/>
          <w:lang w:val="es-ES"/>
        </w:rPr>
        <w:t>lase B</w:t>
      </w: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lang w:val="es-ES"/>
        </w:rPr>
      </w:pPr>
      <w:r w:rsidRPr="00BF25C4">
        <w:rPr>
          <w:rFonts w:ascii="gobCL" w:hAnsi="gobCL"/>
          <w:lang w:val="es-ES"/>
        </w:rPr>
        <w:t xml:space="preserve">La Resolución Exenta N° 3500, de 23 de noviembre de 2016, aprobó las bases de licitación de la  cuota LTP Clase B, pesquería Anchoveta III-IV Regiones, en su numeral 8 letra a) exige a las personas jurídicas acreditar la personería </w:t>
      </w:r>
      <w:r w:rsidR="00090492">
        <w:rPr>
          <w:rFonts w:ascii="gobCL" w:hAnsi="gobCL"/>
          <w:lang w:val="es-ES"/>
        </w:rPr>
        <w:t>de su</w:t>
      </w:r>
      <w:r w:rsidRPr="00BF25C4">
        <w:rPr>
          <w:rFonts w:ascii="gobCL" w:hAnsi="gobCL"/>
          <w:lang w:val="es-ES"/>
        </w:rPr>
        <w:t xml:space="preserve"> representante legal que present</w:t>
      </w:r>
      <w:r w:rsidR="00090492">
        <w:rPr>
          <w:rFonts w:ascii="gobCL" w:hAnsi="gobCL"/>
          <w:lang w:val="es-ES"/>
        </w:rPr>
        <w:t>a</w:t>
      </w:r>
      <w:r w:rsidRPr="00BF25C4">
        <w:rPr>
          <w:rFonts w:ascii="gobCL" w:hAnsi="gobCL"/>
          <w:lang w:val="es-ES"/>
        </w:rPr>
        <w:t xml:space="preserve"> las ofertas, la cual deberá </w:t>
      </w:r>
      <w:r w:rsidR="00090492" w:rsidRPr="00BF25C4">
        <w:rPr>
          <w:rFonts w:ascii="gobCL" w:hAnsi="gobCL"/>
          <w:lang w:val="es-ES"/>
        </w:rPr>
        <w:t>tener</w:t>
      </w:r>
      <w:r w:rsidR="00090492">
        <w:rPr>
          <w:rFonts w:ascii="gobCL" w:hAnsi="gobCL"/>
          <w:lang w:val="es-ES"/>
        </w:rPr>
        <w:t xml:space="preserve"> una</w:t>
      </w:r>
      <w:r w:rsidRPr="00BF25C4">
        <w:rPr>
          <w:rFonts w:ascii="gobCL" w:hAnsi="gobCL"/>
          <w:lang w:val="es-ES"/>
        </w:rPr>
        <w:t xml:space="preserve"> vigencia no superior a 6 meses.</w:t>
      </w:r>
    </w:p>
    <w:p w:rsidR="00BF25C4" w:rsidRDefault="00BF25C4" w:rsidP="00BF25C4">
      <w:pPr>
        <w:spacing w:line="240" w:lineRule="auto"/>
        <w:jc w:val="both"/>
        <w:rPr>
          <w:rFonts w:ascii="gobCL" w:hAnsi="gobCL"/>
          <w:lang w:val="es-ES"/>
        </w:rPr>
      </w:pPr>
      <w:r w:rsidRPr="00BF25C4">
        <w:rPr>
          <w:rFonts w:ascii="gobCL" w:hAnsi="gobCL"/>
          <w:lang w:val="es-ES"/>
        </w:rPr>
        <w:t>Esto es concordante con lo señalado en el D.S. N° 103 de 2015 que en su artículo 8 letra i) prescrib</w:t>
      </w:r>
      <w:r w:rsidR="009D36B1">
        <w:rPr>
          <w:rFonts w:ascii="gobCL" w:hAnsi="gobCL"/>
          <w:lang w:val="es-ES"/>
        </w:rPr>
        <w:t xml:space="preserve">e </w:t>
      </w:r>
      <w:r w:rsidRPr="00BF25C4">
        <w:rPr>
          <w:rFonts w:ascii="gobCL" w:hAnsi="gobCL"/>
          <w:lang w:val="es-ES"/>
        </w:rPr>
        <w:t>en iguales términos tal requisito.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Para acreditar la personería del representante legal de la persona jurídica, va a depender de los estatutos de la sociedad el alcance de dicha representación. Por lo que se deberán acompañar copia autorizada ante notario de los estatutos y certificado de vigencia de dicha representación legal.</w:t>
      </w:r>
    </w:p>
    <w:p w:rsidR="00EA799A" w:rsidRDefault="00EA799A" w:rsidP="00BF25C4">
      <w:pPr>
        <w:spacing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line="240" w:lineRule="auto"/>
        <w:jc w:val="both"/>
        <w:rPr>
          <w:rFonts w:ascii="gobCL" w:hAnsi="gobCL"/>
          <w:lang w:val="es-ES"/>
        </w:rPr>
      </w:pPr>
      <w:r w:rsidRPr="00BF25C4">
        <w:rPr>
          <w:rFonts w:ascii="gobCL" w:hAnsi="gobCL"/>
        </w:rPr>
        <w:t>Tener presente lo indicado en el numeral 10 de las bases, en donde se señala que podrán participar en el acto de apertura de sobres N° 2 ofertas económicas y N° 3 desempates hasta dos representantes por oferentes</w:t>
      </w:r>
      <w:r w:rsidRPr="00BF25C4">
        <w:rPr>
          <w:rFonts w:ascii="gobCL" w:hAnsi="gobCL"/>
          <w:lang w:val="es-ES"/>
        </w:rPr>
        <w:t xml:space="preserve"> que deben tener el respectivo </w:t>
      </w:r>
      <w:r w:rsidRPr="00BF25C4">
        <w:rPr>
          <w:rFonts w:ascii="gobCL" w:hAnsi="gobCL"/>
          <w:b/>
          <w:bCs/>
          <w:lang w:val="es-ES"/>
        </w:rPr>
        <w:t>poder vigente</w:t>
      </w:r>
      <w:r w:rsidRPr="00BF25C4">
        <w:rPr>
          <w:rFonts w:ascii="gobCL" w:hAnsi="gobCL"/>
          <w:lang w:val="es-ES"/>
        </w:rPr>
        <w:t>.</w:t>
      </w:r>
    </w:p>
    <w:p w:rsidR="00BF25C4" w:rsidRPr="00BF25C4" w:rsidRDefault="00BF25C4" w:rsidP="00BF25C4">
      <w:pPr>
        <w:numPr>
          <w:ilvl w:val="0"/>
          <w:numId w:val="1"/>
        </w:numPr>
        <w:spacing w:line="240" w:lineRule="auto"/>
        <w:contextualSpacing/>
        <w:jc w:val="both"/>
        <w:rPr>
          <w:rFonts w:ascii="gobCL" w:hAnsi="gobCL"/>
          <w:b/>
          <w:color w:val="1F497D" w:themeColor="text2"/>
          <w:lang w:val="es-MX"/>
        </w:rPr>
      </w:pPr>
      <w:r w:rsidRPr="00BF25C4">
        <w:rPr>
          <w:rFonts w:ascii="gobCL" w:hAnsi="gobCL"/>
          <w:b/>
          <w:color w:val="1F497D" w:themeColor="text2"/>
          <w:lang w:val="es-MX"/>
        </w:rPr>
        <w:t xml:space="preserve">Como nadie puede adjudicar más del 40% de la totalidad a subastar: pensando en que solo después de la apertura de sobres es posible conocer quien se adjudicó determinada cantidad, es “legal” o “valido” presentar sobres para todos los lotes, según el “Tipo” de lote? 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  <w:b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  <w:r w:rsidRPr="00BF25C4">
        <w:rPr>
          <w:rFonts w:ascii="gobCL" w:hAnsi="gobCL"/>
        </w:rPr>
        <w:t>Las ofertas pueden ser hechas para todos los lotes, teniendo presente que existen lotes de exclusividad de adjudicación</w:t>
      </w:r>
      <w:r w:rsidR="00BE4E7E">
        <w:rPr>
          <w:rFonts w:ascii="gobCL" w:hAnsi="gobCL"/>
        </w:rPr>
        <w:t>,</w:t>
      </w:r>
      <w:r w:rsidRPr="00BF25C4">
        <w:rPr>
          <w:rFonts w:ascii="gobCL" w:hAnsi="gobCL"/>
        </w:rPr>
        <w:t xml:space="preserve"> para empresas de menor tamaño, las mismas pueden incluso presentar ofertas para lotes “todo oferente</w:t>
      </w:r>
      <w:r w:rsidR="00BE4E7E">
        <w:rPr>
          <w:rFonts w:ascii="gobCL" w:hAnsi="gobCL"/>
        </w:rPr>
        <w:t>”</w:t>
      </w:r>
      <w:r w:rsidRPr="00BF25C4">
        <w:rPr>
          <w:rFonts w:ascii="gobCL" w:hAnsi="gobCL"/>
        </w:rPr>
        <w:t xml:space="preserve"> siempre y cuando el monto de garantía alcance.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</w:rPr>
      </w:pP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  <w:b/>
        </w:rPr>
      </w:pPr>
      <w:r w:rsidRPr="00BF25C4">
        <w:rPr>
          <w:rFonts w:ascii="gobCL" w:hAnsi="gobCL"/>
        </w:rPr>
        <w:t xml:space="preserve">Por lo que los limites </w:t>
      </w:r>
      <w:r w:rsidR="00EA799A" w:rsidRPr="00EA799A">
        <w:rPr>
          <w:rFonts w:ascii="gobCL" w:hAnsi="gobCL"/>
        </w:rPr>
        <w:t xml:space="preserve">para ofertar </w:t>
      </w:r>
      <w:r w:rsidR="00C901C8">
        <w:rPr>
          <w:rFonts w:ascii="gobCL" w:hAnsi="gobCL"/>
        </w:rPr>
        <w:t>serán,</w:t>
      </w:r>
      <w:r w:rsidRPr="00BF25C4">
        <w:rPr>
          <w:rFonts w:ascii="gobCL" w:hAnsi="gobCL"/>
        </w:rPr>
        <w:t xml:space="preserve"> </w:t>
      </w:r>
      <w:r w:rsidR="00EA799A" w:rsidRPr="00EA799A">
        <w:rPr>
          <w:rFonts w:ascii="gobCL" w:hAnsi="gobCL"/>
        </w:rPr>
        <w:t xml:space="preserve">por un lado </w:t>
      </w:r>
      <w:r w:rsidRPr="00BF25C4">
        <w:rPr>
          <w:rFonts w:ascii="gobCL" w:hAnsi="gobCL"/>
        </w:rPr>
        <w:t xml:space="preserve">la restricción de adjudicación del 40% y </w:t>
      </w:r>
      <w:r w:rsidR="00EA799A" w:rsidRPr="00EA799A">
        <w:rPr>
          <w:rFonts w:ascii="gobCL" w:hAnsi="gobCL"/>
        </w:rPr>
        <w:t xml:space="preserve">por </w:t>
      </w:r>
      <w:r w:rsidRPr="00BF25C4">
        <w:rPr>
          <w:rFonts w:ascii="gobCL" w:hAnsi="gobCL"/>
        </w:rPr>
        <w:t xml:space="preserve">el </w:t>
      </w:r>
      <w:r w:rsidR="00EA799A" w:rsidRPr="00EA799A">
        <w:rPr>
          <w:rFonts w:ascii="gobCL" w:hAnsi="gobCL"/>
        </w:rPr>
        <w:t>otro</w:t>
      </w:r>
      <w:r w:rsidR="00C901C8">
        <w:rPr>
          <w:rFonts w:ascii="gobCL" w:hAnsi="gobCL"/>
        </w:rPr>
        <w:t>,</w:t>
      </w:r>
      <w:r w:rsidR="00EA799A" w:rsidRPr="00EA799A">
        <w:rPr>
          <w:rFonts w:ascii="gobCL" w:hAnsi="gobCL"/>
        </w:rPr>
        <w:t xml:space="preserve"> el monto</w:t>
      </w:r>
      <w:r w:rsidRPr="00BF25C4">
        <w:rPr>
          <w:rFonts w:ascii="gobCL" w:hAnsi="gobCL"/>
        </w:rPr>
        <w:t xml:space="preserve"> de garantía presentado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  <w:b/>
        </w:rPr>
      </w:pPr>
    </w:p>
    <w:p w:rsidR="00EA799A" w:rsidRPr="00EA799A" w:rsidRDefault="00BF25C4" w:rsidP="00BF25C4">
      <w:pPr>
        <w:spacing w:after="0" w:line="240" w:lineRule="auto"/>
        <w:jc w:val="both"/>
        <w:rPr>
          <w:rFonts w:ascii="gobCL" w:hAnsi="gobCL"/>
          <w:i/>
        </w:rPr>
      </w:pPr>
      <w:r w:rsidRPr="00BF25C4">
        <w:rPr>
          <w:rFonts w:ascii="gobCL" w:hAnsi="gobCL"/>
        </w:rPr>
        <w:t>Ello es concordante con lo indicado en el artículo 12 del reglamento de subastas de LTP Clase B, “</w:t>
      </w:r>
      <w:r w:rsidRPr="00BF25C4">
        <w:rPr>
          <w:rFonts w:ascii="gobCL" w:hAnsi="gobCL"/>
          <w:i/>
        </w:rPr>
        <w:t>Ninguna persona podrá adjudicarse un porcentaje superior al 40% del total a subastar…”</w:t>
      </w:r>
    </w:p>
    <w:p w:rsidR="00EA799A" w:rsidRPr="00EA799A" w:rsidRDefault="00EA799A" w:rsidP="00BF25C4">
      <w:pPr>
        <w:spacing w:after="0" w:line="240" w:lineRule="auto"/>
        <w:jc w:val="both"/>
        <w:rPr>
          <w:rFonts w:ascii="gobCL" w:hAnsi="gobCL"/>
          <w:i/>
        </w:rPr>
      </w:pPr>
    </w:p>
    <w:p w:rsidR="00BF25C4" w:rsidRPr="00BF25C4" w:rsidRDefault="00EA799A" w:rsidP="00BF25C4">
      <w:pPr>
        <w:spacing w:after="0" w:line="240" w:lineRule="auto"/>
        <w:jc w:val="both"/>
        <w:rPr>
          <w:rFonts w:ascii="gobCL" w:hAnsi="gobCL"/>
        </w:rPr>
      </w:pPr>
      <w:r w:rsidRPr="00EA799A">
        <w:rPr>
          <w:rFonts w:ascii="gobCL" w:hAnsi="gobCL"/>
        </w:rPr>
        <w:t xml:space="preserve">Tener presente además, </w:t>
      </w:r>
      <w:r w:rsidR="00BF25C4" w:rsidRPr="00BF25C4">
        <w:rPr>
          <w:rFonts w:ascii="gobCL" w:hAnsi="gobCL"/>
        </w:rPr>
        <w:t xml:space="preserve">que </w:t>
      </w:r>
      <w:r w:rsidR="00CF1346">
        <w:rPr>
          <w:rFonts w:ascii="gobCL" w:hAnsi="gobCL"/>
        </w:rPr>
        <w:t>dicho porcentaje</w:t>
      </w:r>
      <w:r w:rsidR="00BF25C4" w:rsidRPr="00BF25C4">
        <w:rPr>
          <w:rFonts w:ascii="gobCL" w:hAnsi="gobCL"/>
        </w:rPr>
        <w:t xml:space="preserve"> se calcula sobre la base del total de lotes a subastar.</w:t>
      </w:r>
    </w:p>
    <w:p w:rsidR="00BF25C4" w:rsidRPr="00BF25C4" w:rsidRDefault="00BF25C4" w:rsidP="00BF25C4">
      <w:pPr>
        <w:spacing w:after="0" w:line="240" w:lineRule="auto"/>
        <w:jc w:val="both"/>
        <w:rPr>
          <w:rFonts w:ascii="gobCL" w:hAnsi="gobCL"/>
          <w:b/>
          <w:sz w:val="24"/>
          <w:szCs w:val="24"/>
        </w:rPr>
      </w:pPr>
    </w:p>
    <w:p w:rsidR="00BF25C4" w:rsidRPr="00BF25C4" w:rsidRDefault="00BF25C4" w:rsidP="00BF25C4">
      <w:pPr>
        <w:rPr>
          <w:rFonts w:ascii="gobCL" w:hAnsi="gobCL"/>
        </w:rPr>
      </w:pPr>
    </w:p>
    <w:p w:rsidR="006E1398" w:rsidRPr="00EA799A" w:rsidRDefault="006E1398"/>
    <w:sectPr w:rsidR="006E1398" w:rsidRPr="00EA799A" w:rsidSect="00176FAB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B1" w:rsidRDefault="00D271B1" w:rsidP="00BF25C4">
      <w:pPr>
        <w:spacing w:after="0" w:line="240" w:lineRule="auto"/>
      </w:pPr>
      <w:r>
        <w:separator/>
      </w:r>
    </w:p>
  </w:endnote>
  <w:endnote w:type="continuationSeparator" w:id="0">
    <w:p w:rsidR="00D271B1" w:rsidRDefault="00D271B1" w:rsidP="00BF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877090"/>
      <w:docPartObj>
        <w:docPartGallery w:val="Page Numbers (Bottom of Page)"/>
        <w:docPartUnique/>
      </w:docPartObj>
    </w:sdtPr>
    <w:sdtEndPr/>
    <w:sdtContent>
      <w:p w:rsidR="00385F45" w:rsidRDefault="00385F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96" w:rsidRPr="00356096">
          <w:rPr>
            <w:noProof/>
            <w:lang w:val="es-ES"/>
          </w:rPr>
          <w:t>1</w:t>
        </w:r>
        <w:r>
          <w:fldChar w:fldCharType="end"/>
        </w:r>
      </w:p>
    </w:sdtContent>
  </w:sdt>
  <w:p w:rsidR="00385F45" w:rsidRDefault="00385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B1" w:rsidRDefault="00D271B1" w:rsidP="00BF25C4">
      <w:pPr>
        <w:spacing w:after="0" w:line="240" w:lineRule="auto"/>
      </w:pPr>
      <w:r>
        <w:separator/>
      </w:r>
    </w:p>
  </w:footnote>
  <w:footnote w:type="continuationSeparator" w:id="0">
    <w:p w:rsidR="00D271B1" w:rsidRDefault="00D271B1" w:rsidP="00BF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C4" w:rsidRDefault="00BF25C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C210B9D" wp14:editId="2AC76785">
          <wp:simplePos x="0" y="0"/>
          <wp:positionH relativeFrom="column">
            <wp:posOffset>-692785</wp:posOffset>
          </wp:positionH>
          <wp:positionV relativeFrom="paragraph">
            <wp:posOffset>-154305</wp:posOffset>
          </wp:positionV>
          <wp:extent cx="1654175" cy="1592580"/>
          <wp:effectExtent l="0" t="0" r="3175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59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B2712"/>
    <w:multiLevelType w:val="hybridMultilevel"/>
    <w:tmpl w:val="D0ACCE9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4"/>
    <w:rsid w:val="00090492"/>
    <w:rsid w:val="00176FAB"/>
    <w:rsid w:val="00356096"/>
    <w:rsid w:val="00385F45"/>
    <w:rsid w:val="003F4511"/>
    <w:rsid w:val="00630582"/>
    <w:rsid w:val="006E1398"/>
    <w:rsid w:val="007F5987"/>
    <w:rsid w:val="008E11DF"/>
    <w:rsid w:val="008E530E"/>
    <w:rsid w:val="009D36B1"/>
    <w:rsid w:val="00B27799"/>
    <w:rsid w:val="00BE4E7E"/>
    <w:rsid w:val="00BF25C4"/>
    <w:rsid w:val="00C901C8"/>
    <w:rsid w:val="00CF1346"/>
    <w:rsid w:val="00D271B1"/>
    <w:rsid w:val="00E007FC"/>
    <w:rsid w:val="00E10DA2"/>
    <w:rsid w:val="00EA799A"/>
    <w:rsid w:val="00F2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C4"/>
  </w:style>
  <w:style w:type="paragraph" w:styleId="Piedepgina">
    <w:name w:val="footer"/>
    <w:basedOn w:val="Normal"/>
    <w:link w:val="PiedepginaCar"/>
    <w:uiPriority w:val="99"/>
    <w:unhideWhenUsed/>
    <w:rsid w:val="00BF2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C4"/>
  </w:style>
  <w:style w:type="paragraph" w:styleId="Textodeglobo">
    <w:name w:val="Balloon Text"/>
    <w:basedOn w:val="Normal"/>
    <w:link w:val="TextodegloboCar"/>
    <w:uiPriority w:val="99"/>
    <w:semiHidden/>
    <w:unhideWhenUsed/>
    <w:rsid w:val="0017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F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1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C4"/>
  </w:style>
  <w:style w:type="paragraph" w:styleId="Piedepgina">
    <w:name w:val="footer"/>
    <w:basedOn w:val="Normal"/>
    <w:link w:val="PiedepginaCar"/>
    <w:uiPriority w:val="99"/>
    <w:unhideWhenUsed/>
    <w:rsid w:val="00BF2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C4"/>
  </w:style>
  <w:style w:type="paragraph" w:styleId="Textodeglobo">
    <w:name w:val="Balloon Text"/>
    <w:basedOn w:val="Normal"/>
    <w:link w:val="TextodegloboCar"/>
    <w:uiPriority w:val="99"/>
    <w:semiHidden/>
    <w:unhideWhenUsed/>
    <w:rsid w:val="0017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F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Leonardo Rivas Sánchez</cp:lastModifiedBy>
  <cp:revision>2</cp:revision>
  <cp:lastPrinted>2016-12-01T13:33:00Z</cp:lastPrinted>
  <dcterms:created xsi:type="dcterms:W3CDTF">2016-12-01T15:08:00Z</dcterms:created>
  <dcterms:modified xsi:type="dcterms:W3CDTF">2016-12-01T15:08:00Z</dcterms:modified>
</cp:coreProperties>
</file>