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78073" w14:textId="284C8176" w:rsidR="003E2EB1" w:rsidRPr="00A3229D" w:rsidRDefault="00CB3CDB">
      <w:pPr>
        <w:pStyle w:val="Textoindependiente"/>
        <w:jc w:val="center"/>
        <w:rPr>
          <w:rFonts w:ascii="gobCL" w:hAnsi="gobCL"/>
          <w:b/>
          <w:bCs/>
          <w:sz w:val="32"/>
        </w:rPr>
      </w:pPr>
      <w:r w:rsidRPr="00A3229D">
        <w:rPr>
          <w:rFonts w:ascii="gobCL" w:hAnsi="gobCL"/>
          <w:b/>
          <w:bCs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3E2EB1" w:rsidRPr="00A3229D">
        <w:rPr>
          <w:rFonts w:ascii="gobCL" w:hAnsi="gobCL"/>
          <w:b/>
          <w:bCs/>
          <w:sz w:val="32"/>
        </w:rPr>
        <w:t>MINUTA</w:t>
      </w:r>
      <w:r w:rsidR="00EC0F3C" w:rsidRPr="00A3229D">
        <w:rPr>
          <w:rFonts w:ascii="gobCL" w:hAnsi="gobCL"/>
          <w:b/>
          <w:bCs/>
          <w:sz w:val="32"/>
        </w:rPr>
        <w:t xml:space="preserve"> </w:t>
      </w:r>
      <w:r w:rsidR="00CB2D84" w:rsidRPr="00A3229D">
        <w:rPr>
          <w:rFonts w:ascii="gobCL" w:hAnsi="gobCL"/>
          <w:b/>
          <w:bCs/>
          <w:sz w:val="32"/>
        </w:rPr>
        <w:t xml:space="preserve">DAS </w:t>
      </w:r>
      <w:proofErr w:type="spellStart"/>
      <w:r w:rsidR="009957C6" w:rsidRPr="00A3229D">
        <w:rPr>
          <w:rFonts w:ascii="gobCL" w:hAnsi="gobCL"/>
          <w:b/>
          <w:bCs/>
          <w:sz w:val="32"/>
        </w:rPr>
        <w:t>Nº</w:t>
      </w:r>
      <w:proofErr w:type="spellEnd"/>
      <w:r w:rsidR="009957C6" w:rsidRPr="00A3229D">
        <w:rPr>
          <w:rFonts w:ascii="gobCL" w:hAnsi="gobCL"/>
          <w:b/>
          <w:bCs/>
          <w:sz w:val="32"/>
        </w:rPr>
        <w:t xml:space="preserve"> </w:t>
      </w:r>
      <w:r w:rsidR="00FA725F">
        <w:rPr>
          <w:rFonts w:ascii="gobCL" w:hAnsi="gobCL"/>
          <w:b/>
          <w:bCs/>
          <w:sz w:val="32"/>
        </w:rPr>
        <w:t>17</w:t>
      </w:r>
      <w:r w:rsidR="00871091" w:rsidRPr="00A3229D">
        <w:rPr>
          <w:rFonts w:ascii="gobCL" w:hAnsi="gobCL"/>
          <w:b/>
          <w:bCs/>
          <w:sz w:val="32"/>
        </w:rPr>
        <w:t>-202</w:t>
      </w:r>
      <w:r w:rsidR="00F733C3">
        <w:rPr>
          <w:rFonts w:ascii="gobCL" w:hAnsi="gobCL"/>
          <w:b/>
          <w:bCs/>
          <w:sz w:val="32"/>
        </w:rPr>
        <w:t>4</w:t>
      </w:r>
    </w:p>
    <w:p w14:paraId="2A879CE3" w14:textId="77777777" w:rsidR="003E2EB1" w:rsidRPr="00A3229D" w:rsidRDefault="003E2EB1">
      <w:pPr>
        <w:pStyle w:val="Textoindependiente"/>
        <w:jc w:val="center"/>
        <w:rPr>
          <w:rFonts w:ascii="gobCL" w:hAnsi="gobCL"/>
          <w:b/>
          <w:bCs/>
          <w:sz w:val="32"/>
        </w:rPr>
      </w:pPr>
    </w:p>
    <w:p w14:paraId="2F9A7387" w14:textId="61681560" w:rsidR="003E2EB1" w:rsidRPr="00A3229D" w:rsidRDefault="00162887">
      <w:pPr>
        <w:pStyle w:val="Textoindependiente"/>
        <w:jc w:val="center"/>
        <w:rPr>
          <w:rFonts w:ascii="gobCL" w:hAnsi="gobCL"/>
          <w:b/>
          <w:bCs/>
          <w:sz w:val="24"/>
        </w:rPr>
      </w:pPr>
      <w:r w:rsidRPr="00A3229D">
        <w:rPr>
          <w:rFonts w:ascii="gobCL" w:hAnsi="gobCL"/>
          <w:b/>
          <w:bCs/>
          <w:sz w:val="24"/>
        </w:rPr>
        <w:t xml:space="preserve">Antecedentes para la elaboración de Bases Administrativas de las </w:t>
      </w:r>
      <w:r w:rsidR="003E2EB1" w:rsidRPr="00A3229D">
        <w:rPr>
          <w:rFonts w:ascii="gobCL" w:hAnsi="gobCL"/>
          <w:b/>
          <w:bCs/>
          <w:sz w:val="24"/>
        </w:rPr>
        <w:t>Subasta</w:t>
      </w:r>
      <w:r w:rsidRPr="00A3229D">
        <w:rPr>
          <w:rFonts w:ascii="gobCL" w:hAnsi="gobCL"/>
          <w:b/>
          <w:bCs/>
          <w:sz w:val="24"/>
        </w:rPr>
        <w:t>s</w:t>
      </w:r>
      <w:r w:rsidR="003E2EB1" w:rsidRPr="00A3229D">
        <w:rPr>
          <w:rFonts w:ascii="gobCL" w:hAnsi="gobCL"/>
          <w:b/>
          <w:bCs/>
          <w:sz w:val="24"/>
        </w:rPr>
        <w:t xml:space="preserve"> de </w:t>
      </w:r>
      <w:r w:rsidR="008D729C" w:rsidRPr="00A3229D">
        <w:rPr>
          <w:rFonts w:ascii="gobCL" w:hAnsi="gobCL"/>
          <w:b/>
          <w:bCs/>
          <w:sz w:val="24"/>
        </w:rPr>
        <w:t xml:space="preserve">Reasignación de </w:t>
      </w:r>
      <w:r w:rsidR="0039293F" w:rsidRPr="00A3229D">
        <w:rPr>
          <w:rFonts w:ascii="gobCL" w:hAnsi="gobCL"/>
          <w:b/>
          <w:bCs/>
          <w:sz w:val="24"/>
        </w:rPr>
        <w:t xml:space="preserve">LTP B </w:t>
      </w:r>
      <w:r w:rsidR="004A50FF" w:rsidRPr="00A3229D">
        <w:rPr>
          <w:rFonts w:ascii="gobCL" w:hAnsi="gobCL"/>
          <w:b/>
          <w:bCs/>
          <w:sz w:val="24"/>
        </w:rPr>
        <w:t xml:space="preserve">por renuncia de titular </w:t>
      </w:r>
      <w:r w:rsidR="004A50FF">
        <w:rPr>
          <w:rFonts w:ascii="gobCL" w:hAnsi="gobCL"/>
          <w:b/>
          <w:bCs/>
          <w:sz w:val="24"/>
        </w:rPr>
        <w:t>recurso</w:t>
      </w:r>
      <w:r w:rsidR="0039293F" w:rsidRPr="00A3229D">
        <w:rPr>
          <w:rFonts w:ascii="gobCL" w:hAnsi="gobCL"/>
          <w:b/>
          <w:bCs/>
          <w:sz w:val="24"/>
        </w:rPr>
        <w:t xml:space="preserve"> </w:t>
      </w:r>
      <w:r w:rsidR="00F733C3">
        <w:rPr>
          <w:rFonts w:ascii="gobCL" w:hAnsi="gobCL"/>
          <w:b/>
          <w:bCs/>
          <w:sz w:val="24"/>
        </w:rPr>
        <w:t>anchoveta norte</w:t>
      </w:r>
      <w:r w:rsidR="004A50FF">
        <w:rPr>
          <w:rFonts w:ascii="gobCL" w:hAnsi="gobCL"/>
          <w:b/>
          <w:bCs/>
          <w:sz w:val="24"/>
        </w:rPr>
        <w:t xml:space="preserve"> unidad de pesquería </w:t>
      </w:r>
      <w:proofErr w:type="spellStart"/>
      <w:r w:rsidR="004A50FF">
        <w:rPr>
          <w:rFonts w:ascii="gobCL" w:hAnsi="gobCL"/>
          <w:b/>
          <w:bCs/>
          <w:sz w:val="24"/>
        </w:rPr>
        <w:t>AyP</w:t>
      </w:r>
      <w:proofErr w:type="spellEnd"/>
      <w:r w:rsidR="004A50FF">
        <w:rPr>
          <w:rFonts w:ascii="gobCL" w:hAnsi="gobCL"/>
          <w:b/>
          <w:bCs/>
          <w:sz w:val="24"/>
        </w:rPr>
        <w:t xml:space="preserve"> a ANTOF y por caducidad recurso </w:t>
      </w:r>
      <w:r w:rsidR="00F733C3">
        <w:rPr>
          <w:rFonts w:ascii="gobCL" w:hAnsi="gobCL"/>
          <w:b/>
          <w:bCs/>
          <w:sz w:val="24"/>
        </w:rPr>
        <w:t>merluza común</w:t>
      </w:r>
      <w:r w:rsidR="004A50FF">
        <w:rPr>
          <w:rFonts w:ascii="gobCL" w:hAnsi="gobCL"/>
          <w:b/>
          <w:bCs/>
          <w:sz w:val="24"/>
        </w:rPr>
        <w:t xml:space="preserve"> </w:t>
      </w:r>
      <w:r w:rsidR="004A50FF" w:rsidRPr="004A50FF">
        <w:rPr>
          <w:rFonts w:ascii="gobCL" w:hAnsi="gobCL"/>
          <w:b/>
          <w:bCs/>
          <w:sz w:val="24"/>
        </w:rPr>
        <w:t>regiones de Coquimbo al paralelo 41° 28,6’ L.S.</w:t>
      </w:r>
      <w:r w:rsidR="00280740" w:rsidRPr="004A50FF">
        <w:rPr>
          <w:rFonts w:ascii="gobCL" w:hAnsi="gobCL"/>
          <w:b/>
          <w:bCs/>
          <w:sz w:val="24"/>
        </w:rPr>
        <w:t xml:space="preserve">, </w:t>
      </w:r>
      <w:r w:rsidR="00F4581B" w:rsidRPr="004A50FF">
        <w:rPr>
          <w:rFonts w:ascii="gobCL" w:hAnsi="gobCL"/>
          <w:b/>
          <w:bCs/>
          <w:sz w:val="24"/>
        </w:rPr>
        <w:t>año</w:t>
      </w:r>
      <w:r w:rsidR="00280740" w:rsidRPr="004A50FF">
        <w:rPr>
          <w:rFonts w:ascii="gobCL" w:hAnsi="gobCL"/>
          <w:b/>
          <w:bCs/>
          <w:sz w:val="24"/>
        </w:rPr>
        <w:t xml:space="preserve"> 20</w:t>
      </w:r>
      <w:r w:rsidR="00DC0ABD" w:rsidRPr="004A50FF">
        <w:rPr>
          <w:rFonts w:ascii="gobCL" w:hAnsi="gobCL"/>
          <w:b/>
          <w:bCs/>
          <w:sz w:val="24"/>
        </w:rPr>
        <w:t>2</w:t>
      </w:r>
      <w:r w:rsidR="004A50FF" w:rsidRPr="004A50FF">
        <w:rPr>
          <w:rFonts w:ascii="gobCL" w:hAnsi="gobCL"/>
          <w:b/>
          <w:bCs/>
          <w:sz w:val="24"/>
        </w:rPr>
        <w:t>5</w:t>
      </w:r>
      <w:r w:rsidR="000700A5" w:rsidRPr="004A50FF">
        <w:rPr>
          <w:rFonts w:ascii="gobCL" w:hAnsi="gobCL"/>
          <w:b/>
          <w:bCs/>
          <w:sz w:val="24"/>
        </w:rPr>
        <w:t>.</w:t>
      </w:r>
    </w:p>
    <w:p w14:paraId="534ECB52" w14:textId="77777777" w:rsidR="003E2EB1" w:rsidRDefault="003E2EB1">
      <w:pPr>
        <w:pStyle w:val="Textoindependiente"/>
        <w:jc w:val="center"/>
        <w:rPr>
          <w:rFonts w:ascii="gobCL" w:hAnsi="gobCL"/>
          <w:b/>
          <w:bCs/>
          <w:sz w:val="24"/>
        </w:rPr>
      </w:pPr>
    </w:p>
    <w:p w14:paraId="4E5406D7" w14:textId="77777777" w:rsidR="0096694B" w:rsidRPr="00A3229D" w:rsidRDefault="0096694B">
      <w:pPr>
        <w:pStyle w:val="Textoindependiente"/>
        <w:jc w:val="center"/>
        <w:rPr>
          <w:rFonts w:ascii="gobCL" w:hAnsi="gobCL"/>
          <w:b/>
          <w:bCs/>
          <w:sz w:val="24"/>
        </w:rPr>
      </w:pPr>
    </w:p>
    <w:p w14:paraId="10DAFB5C" w14:textId="17B5F664" w:rsidR="003E2EB1" w:rsidRPr="00A3229D" w:rsidRDefault="003E2EB1" w:rsidP="00F63DA1">
      <w:pPr>
        <w:pStyle w:val="Textoindependiente"/>
        <w:numPr>
          <w:ilvl w:val="0"/>
          <w:numId w:val="46"/>
        </w:numPr>
        <w:rPr>
          <w:rFonts w:ascii="gobCL" w:hAnsi="gobCL"/>
          <w:b/>
          <w:bCs/>
          <w:sz w:val="24"/>
          <w:u w:val="single"/>
        </w:rPr>
      </w:pPr>
      <w:r w:rsidRPr="00A3229D">
        <w:rPr>
          <w:rFonts w:ascii="gobCL" w:hAnsi="gobCL"/>
          <w:b/>
          <w:bCs/>
          <w:sz w:val="24"/>
          <w:u w:val="single"/>
        </w:rPr>
        <w:t>Objetivo</w:t>
      </w:r>
    </w:p>
    <w:p w14:paraId="3BE9A17C" w14:textId="77777777" w:rsidR="00326DDB" w:rsidRPr="00A3229D" w:rsidRDefault="00326DDB">
      <w:pPr>
        <w:pStyle w:val="Textoindependiente"/>
        <w:rPr>
          <w:rFonts w:ascii="gobCL" w:hAnsi="gobCL"/>
        </w:rPr>
      </w:pPr>
    </w:p>
    <w:p w14:paraId="0F89FCB5" w14:textId="0AC525AA" w:rsidR="00A16188" w:rsidRDefault="003E2EB1" w:rsidP="00886E89">
      <w:pPr>
        <w:pStyle w:val="Textoindependiente"/>
        <w:rPr>
          <w:rFonts w:ascii="gobCL" w:hAnsi="gobCL"/>
        </w:rPr>
      </w:pPr>
      <w:r w:rsidRPr="00A3229D">
        <w:rPr>
          <w:rFonts w:ascii="gobCL" w:hAnsi="gobCL"/>
        </w:rPr>
        <w:t>Proporcionar antecedentes a considerar en la subast</w:t>
      </w:r>
      <w:r w:rsidR="009F0967" w:rsidRPr="00A3229D">
        <w:rPr>
          <w:rFonts w:ascii="gobCL" w:hAnsi="gobCL"/>
        </w:rPr>
        <w:t>a de</w:t>
      </w:r>
      <w:r w:rsidR="00CB0316" w:rsidRPr="00A3229D">
        <w:rPr>
          <w:rFonts w:ascii="gobCL" w:hAnsi="gobCL"/>
        </w:rPr>
        <w:t xml:space="preserve"> r</w:t>
      </w:r>
      <w:r w:rsidR="008D729C" w:rsidRPr="00A3229D">
        <w:rPr>
          <w:rFonts w:ascii="gobCL" w:hAnsi="gobCL"/>
        </w:rPr>
        <w:t xml:space="preserve">easignación </w:t>
      </w:r>
      <w:r w:rsidR="00EA67EE" w:rsidRPr="00A3229D">
        <w:rPr>
          <w:rFonts w:ascii="gobCL" w:hAnsi="gobCL"/>
        </w:rPr>
        <w:t>de</w:t>
      </w:r>
      <w:r w:rsidR="008A5008" w:rsidRPr="00A3229D">
        <w:rPr>
          <w:rFonts w:ascii="gobCL" w:hAnsi="gobCL"/>
        </w:rPr>
        <w:t xml:space="preserve"> </w:t>
      </w:r>
      <w:r w:rsidR="00D6498A" w:rsidRPr="00A3229D">
        <w:rPr>
          <w:rFonts w:ascii="gobCL" w:hAnsi="gobCL"/>
        </w:rPr>
        <w:t>Licencia</w:t>
      </w:r>
      <w:r w:rsidR="00A21860" w:rsidRPr="00A3229D">
        <w:rPr>
          <w:rFonts w:ascii="gobCL" w:hAnsi="gobCL"/>
        </w:rPr>
        <w:t>s</w:t>
      </w:r>
      <w:r w:rsidR="00D6498A" w:rsidRPr="00A3229D">
        <w:rPr>
          <w:rFonts w:ascii="gobCL" w:hAnsi="gobCL"/>
        </w:rPr>
        <w:t xml:space="preserve"> Transable</w:t>
      </w:r>
      <w:r w:rsidR="00A21860" w:rsidRPr="00A3229D">
        <w:rPr>
          <w:rFonts w:ascii="gobCL" w:hAnsi="gobCL"/>
        </w:rPr>
        <w:t>s</w:t>
      </w:r>
      <w:r w:rsidR="00D6498A" w:rsidRPr="00A3229D">
        <w:rPr>
          <w:rFonts w:ascii="gobCL" w:hAnsi="gobCL"/>
        </w:rPr>
        <w:t xml:space="preserve"> de Pesca </w:t>
      </w:r>
      <w:r w:rsidR="00E97A96" w:rsidRPr="00A3229D">
        <w:rPr>
          <w:rFonts w:ascii="gobCL" w:hAnsi="gobCL"/>
        </w:rPr>
        <w:t>c</w:t>
      </w:r>
      <w:r w:rsidR="00D6498A" w:rsidRPr="00A3229D">
        <w:rPr>
          <w:rFonts w:ascii="gobCL" w:hAnsi="gobCL"/>
        </w:rPr>
        <w:t>lase B</w:t>
      </w:r>
      <w:r w:rsidR="009F0967" w:rsidRPr="00A3229D">
        <w:rPr>
          <w:rFonts w:ascii="gobCL" w:hAnsi="gobCL"/>
        </w:rPr>
        <w:t xml:space="preserve"> </w:t>
      </w:r>
      <w:r w:rsidR="00A16188">
        <w:rPr>
          <w:rFonts w:ascii="gobCL" w:hAnsi="gobCL"/>
        </w:rPr>
        <w:t>de lotes de</w:t>
      </w:r>
      <w:r w:rsidR="00EA67EE" w:rsidRPr="00A3229D">
        <w:rPr>
          <w:rFonts w:ascii="gobCL" w:hAnsi="gobCL"/>
        </w:rPr>
        <w:t xml:space="preserve"> </w:t>
      </w:r>
      <w:r w:rsidR="00F733C3">
        <w:rPr>
          <w:rFonts w:ascii="gobCL" w:hAnsi="gobCL"/>
        </w:rPr>
        <w:t>Anchoveta</w:t>
      </w:r>
      <w:r w:rsidR="00A16188">
        <w:rPr>
          <w:rFonts w:ascii="gobCL" w:hAnsi="gobCL"/>
        </w:rPr>
        <w:t xml:space="preserve"> para la unidad de pesquería comprendida</w:t>
      </w:r>
      <w:r w:rsidR="00F733C3">
        <w:rPr>
          <w:rFonts w:ascii="gobCL" w:hAnsi="gobCL"/>
        </w:rPr>
        <w:t xml:space="preserve"> </w:t>
      </w:r>
      <w:r w:rsidR="00A16188">
        <w:rPr>
          <w:rFonts w:ascii="gobCL" w:hAnsi="gobCL"/>
        </w:rPr>
        <w:t>entre las regiones de Arica y Parinacota a Antofagasta</w:t>
      </w:r>
      <w:r w:rsidR="003978D2" w:rsidRPr="00A3229D">
        <w:rPr>
          <w:rFonts w:ascii="gobCL" w:hAnsi="gobCL"/>
        </w:rPr>
        <w:t xml:space="preserve">, </w:t>
      </w:r>
      <w:r w:rsidR="00046200" w:rsidRPr="00A3229D">
        <w:rPr>
          <w:rFonts w:ascii="gobCL" w:hAnsi="gobCL"/>
        </w:rPr>
        <w:t>por renuncia de</w:t>
      </w:r>
      <w:r w:rsidR="00A16188">
        <w:rPr>
          <w:rFonts w:ascii="gobCL" w:hAnsi="gobCL"/>
        </w:rPr>
        <w:t xml:space="preserve"> titular</w:t>
      </w:r>
      <w:r w:rsidR="00046200" w:rsidRPr="00A3229D">
        <w:rPr>
          <w:rFonts w:ascii="gobCL" w:hAnsi="gobCL"/>
        </w:rPr>
        <w:t xml:space="preserve"> </w:t>
      </w:r>
      <w:r w:rsidR="00A16188">
        <w:rPr>
          <w:rFonts w:ascii="gobCL" w:hAnsi="gobCL"/>
        </w:rPr>
        <w:t xml:space="preserve">SINDICATO PESQUERO DEL NORTE SpA a los lotes 26, 27, 28 y 29 del año 2019 categoría </w:t>
      </w:r>
      <w:r w:rsidR="006D2592">
        <w:rPr>
          <w:rFonts w:ascii="gobCL" w:hAnsi="gobCL"/>
        </w:rPr>
        <w:t>empresas de menor tamaño (EMT)</w:t>
      </w:r>
      <w:r w:rsidR="00A16188">
        <w:rPr>
          <w:rFonts w:ascii="gobCL" w:hAnsi="gobCL"/>
        </w:rPr>
        <w:t xml:space="preserve"> </w:t>
      </w:r>
      <w:r w:rsidR="00905C58">
        <w:rPr>
          <w:rFonts w:ascii="gobCL" w:hAnsi="gobCL"/>
        </w:rPr>
        <w:t xml:space="preserve">y </w:t>
      </w:r>
      <w:r w:rsidR="00A16188">
        <w:rPr>
          <w:rFonts w:ascii="gobCL" w:hAnsi="gobCL"/>
        </w:rPr>
        <w:t>lotes</w:t>
      </w:r>
      <w:r w:rsidR="00905C58">
        <w:rPr>
          <w:rFonts w:ascii="gobCL" w:hAnsi="gobCL"/>
        </w:rPr>
        <w:t xml:space="preserve"> 2,3,4,5,6,7,8,9,10,11,13,14,15,16,17,18,19,20,24</w:t>
      </w:r>
      <w:r w:rsidR="00DD3031">
        <w:rPr>
          <w:rFonts w:ascii="gobCL" w:hAnsi="gobCL"/>
        </w:rPr>
        <w:t xml:space="preserve"> </w:t>
      </w:r>
      <w:r w:rsidR="00905C58">
        <w:rPr>
          <w:rFonts w:ascii="gobCL" w:hAnsi="gobCL"/>
        </w:rPr>
        <w:t xml:space="preserve">todas del año 2021 categoría </w:t>
      </w:r>
      <w:r w:rsidR="005D0C6C">
        <w:rPr>
          <w:rFonts w:ascii="gobCL" w:hAnsi="gobCL"/>
        </w:rPr>
        <w:t>EMT</w:t>
      </w:r>
      <w:r w:rsidR="00905C58">
        <w:rPr>
          <w:rFonts w:ascii="gobCL" w:hAnsi="gobCL"/>
        </w:rPr>
        <w:t xml:space="preserve">. </w:t>
      </w:r>
      <w:r w:rsidR="004A50FF">
        <w:rPr>
          <w:rFonts w:ascii="gobCL" w:hAnsi="gobCL"/>
        </w:rPr>
        <w:t xml:space="preserve"> </w:t>
      </w:r>
    </w:p>
    <w:p w14:paraId="5C873D18" w14:textId="77777777" w:rsidR="004A50FF" w:rsidRDefault="004A50FF" w:rsidP="00886E89">
      <w:pPr>
        <w:pStyle w:val="Textoindependiente"/>
        <w:rPr>
          <w:rFonts w:ascii="gobCL" w:hAnsi="gobCL"/>
        </w:rPr>
      </w:pPr>
    </w:p>
    <w:p w14:paraId="62FD4615" w14:textId="0D94EE3A" w:rsidR="004A50FF" w:rsidRDefault="004A50FF" w:rsidP="00886E89">
      <w:pPr>
        <w:pStyle w:val="Textoindependiente"/>
        <w:rPr>
          <w:rFonts w:ascii="gobCL" w:hAnsi="gobCL"/>
        </w:rPr>
      </w:pPr>
      <w:r>
        <w:rPr>
          <w:rFonts w:ascii="gobCL" w:hAnsi="gobCL"/>
        </w:rPr>
        <w:t xml:space="preserve">Antecedentes de reasignación por caducidad de lotes de merluza común regiones de Coquimbo al paralelo 41° 28,6’ L.S. de titular PESQUERA MJF LTDA </w:t>
      </w:r>
      <w:r w:rsidR="00FA7C7C">
        <w:rPr>
          <w:rFonts w:ascii="gobCL" w:hAnsi="gobCL"/>
        </w:rPr>
        <w:t>correspondiente a un lote</w:t>
      </w:r>
      <w:r w:rsidR="00F22A90">
        <w:rPr>
          <w:rFonts w:ascii="gobCL" w:hAnsi="gobCL"/>
        </w:rPr>
        <w:t xml:space="preserve"> (43)</w:t>
      </w:r>
      <w:r w:rsidR="00FA7C7C">
        <w:rPr>
          <w:rFonts w:ascii="gobCL" w:hAnsi="gobCL"/>
        </w:rPr>
        <w:t xml:space="preserve"> de participación de 0,0015000 de la fracción industrial de la cuota global.</w:t>
      </w:r>
    </w:p>
    <w:p w14:paraId="7E831139" w14:textId="77777777" w:rsidR="00FA7C7C" w:rsidRDefault="00FA7C7C" w:rsidP="00886E89">
      <w:pPr>
        <w:pStyle w:val="Textoindependiente"/>
        <w:rPr>
          <w:rFonts w:ascii="gobCL" w:hAnsi="gobCL"/>
        </w:rPr>
      </w:pPr>
    </w:p>
    <w:p w14:paraId="69E06F64" w14:textId="5A3F1D6F" w:rsidR="00FA7C7C" w:rsidRDefault="00FA7C7C" w:rsidP="00886E89">
      <w:pPr>
        <w:pStyle w:val="Textoindependiente"/>
        <w:rPr>
          <w:rFonts w:ascii="gobCL" w:hAnsi="gobCL"/>
        </w:rPr>
      </w:pPr>
      <w:r>
        <w:rPr>
          <w:rFonts w:ascii="gobCL" w:hAnsi="gobCL"/>
        </w:rPr>
        <w:t xml:space="preserve">Ambos recursos referidos a </w:t>
      </w:r>
      <w:r w:rsidR="007D4168">
        <w:rPr>
          <w:rFonts w:ascii="gobCL" w:hAnsi="gobCL"/>
        </w:rPr>
        <w:t xml:space="preserve">Subasta de </w:t>
      </w:r>
      <w:r>
        <w:rPr>
          <w:rFonts w:ascii="gobCL" w:hAnsi="gobCL"/>
        </w:rPr>
        <w:t>la cuota correspondiente al año 2025.</w:t>
      </w:r>
    </w:p>
    <w:p w14:paraId="46977E2C" w14:textId="77777777" w:rsidR="00905C58" w:rsidRDefault="00905C58" w:rsidP="00886E89">
      <w:pPr>
        <w:pStyle w:val="Textoindependiente"/>
        <w:rPr>
          <w:rFonts w:ascii="gobCL" w:hAnsi="gobCL"/>
        </w:rPr>
      </w:pPr>
    </w:p>
    <w:p w14:paraId="0CE4DA35" w14:textId="124B8522" w:rsidR="003B2D81" w:rsidRPr="00A3229D" w:rsidRDefault="003B2D81" w:rsidP="00780648">
      <w:pPr>
        <w:pStyle w:val="Textoindependiente"/>
        <w:rPr>
          <w:rFonts w:ascii="gobCL" w:hAnsi="gobCL"/>
        </w:rPr>
      </w:pPr>
    </w:p>
    <w:p w14:paraId="3C2BBAE9" w14:textId="5EE1D959" w:rsidR="00EC1010" w:rsidRPr="00A3229D" w:rsidRDefault="00EC1010" w:rsidP="00F63DA1">
      <w:pPr>
        <w:pStyle w:val="Textoindependiente"/>
        <w:numPr>
          <w:ilvl w:val="0"/>
          <w:numId w:val="46"/>
        </w:numPr>
        <w:rPr>
          <w:rFonts w:ascii="gobCL" w:hAnsi="gobCL"/>
          <w:b/>
          <w:bCs/>
          <w:sz w:val="24"/>
          <w:u w:val="single"/>
        </w:rPr>
      </w:pPr>
      <w:r w:rsidRPr="00A3229D">
        <w:rPr>
          <w:rFonts w:ascii="gobCL" w:hAnsi="gobCL"/>
          <w:b/>
          <w:bCs/>
          <w:sz w:val="24"/>
          <w:u w:val="single"/>
        </w:rPr>
        <w:t>Antecedentes</w:t>
      </w:r>
    </w:p>
    <w:p w14:paraId="4A29D83C" w14:textId="77777777" w:rsidR="00193847" w:rsidRPr="00A3229D" w:rsidRDefault="00193847" w:rsidP="00193847">
      <w:pPr>
        <w:pStyle w:val="Ttulo2"/>
        <w:rPr>
          <w:rFonts w:ascii="gobCL" w:hAnsi="gobCL"/>
        </w:rPr>
      </w:pPr>
    </w:p>
    <w:p w14:paraId="33733B39" w14:textId="4316443B" w:rsidR="00193847" w:rsidRPr="00A3229D" w:rsidRDefault="00F63DA1" w:rsidP="00DC0ABD">
      <w:pPr>
        <w:pStyle w:val="Ttulo2"/>
        <w:rPr>
          <w:rFonts w:ascii="gobCL" w:hAnsi="gobCL"/>
        </w:rPr>
      </w:pPr>
      <w:r w:rsidRPr="00A3229D">
        <w:rPr>
          <w:rFonts w:ascii="gobCL" w:hAnsi="gobCL"/>
        </w:rPr>
        <w:t xml:space="preserve">2.1 </w:t>
      </w:r>
      <w:r w:rsidR="000A7509" w:rsidRPr="00A3229D">
        <w:rPr>
          <w:rFonts w:ascii="gobCL" w:hAnsi="gobCL"/>
        </w:rPr>
        <w:t xml:space="preserve">Marco </w:t>
      </w:r>
      <w:r w:rsidR="00CF2C62" w:rsidRPr="00A3229D">
        <w:rPr>
          <w:rFonts w:ascii="gobCL" w:hAnsi="gobCL"/>
        </w:rPr>
        <w:t>Legal</w:t>
      </w:r>
    </w:p>
    <w:p w14:paraId="456F4EDA" w14:textId="77777777" w:rsidR="00193847" w:rsidRPr="00A3229D" w:rsidRDefault="00193847" w:rsidP="00193847">
      <w:pPr>
        <w:pStyle w:val="Textoindependiente"/>
        <w:rPr>
          <w:rFonts w:ascii="gobCL" w:hAnsi="gobCL"/>
          <w:bCs/>
        </w:rPr>
      </w:pPr>
    </w:p>
    <w:p w14:paraId="66B3BC64" w14:textId="5DD6A239" w:rsidR="00193847" w:rsidRPr="00A3229D" w:rsidRDefault="00193847" w:rsidP="00193847">
      <w:pPr>
        <w:pStyle w:val="Textoindependiente"/>
        <w:rPr>
          <w:rFonts w:ascii="gobCL" w:hAnsi="gobCL"/>
          <w:bCs/>
        </w:rPr>
      </w:pPr>
      <w:r w:rsidRPr="00A3229D">
        <w:rPr>
          <w:rFonts w:ascii="gobCL" w:hAnsi="gobCL"/>
          <w:bCs/>
        </w:rPr>
        <w:t xml:space="preserve">El artículo 15 del Reglamento de las Licencias transables de Pesca clase B, contenido en el D.S. N° 103 de 2015, establece que </w:t>
      </w:r>
      <w:r w:rsidR="00E91F72" w:rsidRPr="00A3229D">
        <w:rPr>
          <w:rFonts w:ascii="gobCL" w:hAnsi="gobCL"/>
          <w:bCs/>
        </w:rPr>
        <w:t>en caso de que</w:t>
      </w:r>
      <w:r w:rsidRPr="00A3229D">
        <w:rPr>
          <w:rFonts w:ascii="gobCL" w:hAnsi="gobCL"/>
          <w:bCs/>
        </w:rPr>
        <w:t xml:space="preserve"> un adjudicatario no pague las anualidades, o renuncie su titular a un lote adjudicado</w:t>
      </w:r>
      <w:r w:rsidR="009E4366" w:rsidRPr="00A3229D">
        <w:rPr>
          <w:rFonts w:ascii="gobCL" w:hAnsi="gobCL"/>
          <w:bCs/>
        </w:rPr>
        <w:t xml:space="preserve"> (artículo 17)</w:t>
      </w:r>
      <w:r w:rsidRPr="00A3229D">
        <w:rPr>
          <w:rFonts w:ascii="gobCL" w:hAnsi="gobCL"/>
          <w:bCs/>
        </w:rPr>
        <w:t xml:space="preserve">, la Subsecretaría de Pesca </w:t>
      </w:r>
      <w:r w:rsidR="00E91F72">
        <w:rPr>
          <w:rFonts w:ascii="gobCL" w:hAnsi="gobCL"/>
          <w:bCs/>
        </w:rPr>
        <w:t xml:space="preserve">y Acuicultura </w:t>
      </w:r>
      <w:r w:rsidRPr="00A3229D">
        <w:rPr>
          <w:rFonts w:ascii="gobCL" w:hAnsi="gobCL"/>
          <w:bCs/>
        </w:rPr>
        <w:t>deberá certificar esta circunstancia y con este mérito dejar sin efecto la respectiva resolución; y deberá subastar nuevamente el</w:t>
      </w:r>
      <w:r w:rsidR="007D4168">
        <w:rPr>
          <w:rFonts w:ascii="gobCL" w:hAnsi="gobCL"/>
          <w:bCs/>
        </w:rPr>
        <w:t xml:space="preserve"> o los</w:t>
      </w:r>
      <w:r w:rsidRPr="00A3229D">
        <w:rPr>
          <w:rFonts w:ascii="gobCL" w:hAnsi="gobCL"/>
          <w:bCs/>
        </w:rPr>
        <w:t xml:space="preserve"> respectivo</w:t>
      </w:r>
      <w:r w:rsidR="007D4168">
        <w:rPr>
          <w:rFonts w:ascii="gobCL" w:hAnsi="gobCL"/>
          <w:bCs/>
        </w:rPr>
        <w:t>(s)</w:t>
      </w:r>
      <w:r w:rsidRPr="00A3229D">
        <w:rPr>
          <w:rFonts w:ascii="gobCL" w:hAnsi="gobCL"/>
          <w:bCs/>
        </w:rPr>
        <w:t xml:space="preserve"> lote</w:t>
      </w:r>
      <w:r w:rsidR="007D4168">
        <w:rPr>
          <w:rFonts w:ascii="gobCL" w:hAnsi="gobCL"/>
          <w:bCs/>
        </w:rPr>
        <w:t>(s)</w:t>
      </w:r>
      <w:r w:rsidRPr="00A3229D">
        <w:rPr>
          <w:rFonts w:ascii="gobCL" w:hAnsi="gobCL"/>
          <w:bCs/>
        </w:rPr>
        <w:t xml:space="preserve"> por el plazo que se deje sin efecto dicho acto administrativo. </w:t>
      </w:r>
    </w:p>
    <w:p w14:paraId="184F3B7F" w14:textId="77777777" w:rsidR="00193847" w:rsidRPr="00A3229D" w:rsidRDefault="00193847" w:rsidP="00193847">
      <w:pPr>
        <w:pStyle w:val="Textoindependiente"/>
        <w:rPr>
          <w:rFonts w:ascii="gobCL" w:hAnsi="gobCL"/>
          <w:bCs/>
        </w:rPr>
      </w:pPr>
    </w:p>
    <w:p w14:paraId="32AA3195" w14:textId="21E3BB41" w:rsidR="00193847" w:rsidRPr="00A3229D" w:rsidRDefault="00193847" w:rsidP="00193847">
      <w:pPr>
        <w:pStyle w:val="Textoindependiente"/>
        <w:rPr>
          <w:rFonts w:ascii="gobCL" w:hAnsi="gobCL"/>
          <w:bCs/>
        </w:rPr>
      </w:pPr>
      <w:r w:rsidRPr="00A3229D">
        <w:rPr>
          <w:rFonts w:ascii="gobCL" w:hAnsi="gobCL"/>
          <w:bCs/>
        </w:rPr>
        <w:t xml:space="preserve">En esta nueva subasta no podrá participar el adjudicatario que haya incumplido o renunciado, según sea el caso, en los términos indicados en el inciso anterior. </w:t>
      </w:r>
      <w:r w:rsidR="001B0FC0" w:rsidRPr="00A3229D">
        <w:rPr>
          <w:rFonts w:ascii="gobCL" w:hAnsi="gobCL"/>
          <w:bCs/>
        </w:rPr>
        <w:t>En caso de que</w:t>
      </w:r>
      <w:r w:rsidRPr="00A3229D">
        <w:rPr>
          <w:rFonts w:ascii="gobCL" w:hAnsi="gobCL"/>
          <w:bCs/>
        </w:rPr>
        <w:t xml:space="preserve"> no se adjudique est</w:t>
      </w:r>
      <w:r w:rsidR="007D4168">
        <w:rPr>
          <w:rFonts w:ascii="gobCL" w:hAnsi="gobCL"/>
          <w:bCs/>
        </w:rPr>
        <w:t>e</w:t>
      </w:r>
      <w:r w:rsidRPr="00A3229D">
        <w:rPr>
          <w:rFonts w:ascii="gobCL" w:hAnsi="gobCL"/>
          <w:bCs/>
        </w:rPr>
        <w:t xml:space="preserve"> lote en la nueva subasta o no se realice el pago de alguna anualidad, la cuota correspondiente a dicho lote no será asignada. </w:t>
      </w:r>
    </w:p>
    <w:p w14:paraId="29926EC7" w14:textId="77777777" w:rsidR="00941166" w:rsidRDefault="00941166" w:rsidP="00941166"/>
    <w:p w14:paraId="72772B0C" w14:textId="77777777" w:rsidR="0096694B" w:rsidRDefault="0096694B" w:rsidP="00941166"/>
    <w:p w14:paraId="09AFA235" w14:textId="77777777" w:rsidR="0096694B" w:rsidRPr="00941166" w:rsidRDefault="0096694B" w:rsidP="00941166"/>
    <w:p w14:paraId="3ADAA38D" w14:textId="3C264A6B" w:rsidR="00193847" w:rsidRPr="00A3229D" w:rsidRDefault="00F63DA1" w:rsidP="00DC0ABD">
      <w:pPr>
        <w:pStyle w:val="Ttulo2"/>
        <w:rPr>
          <w:rFonts w:ascii="gobCL" w:hAnsi="gobCL"/>
        </w:rPr>
      </w:pPr>
      <w:r w:rsidRPr="00A3229D">
        <w:rPr>
          <w:rFonts w:ascii="gobCL" w:hAnsi="gobCL"/>
        </w:rPr>
        <w:lastRenderedPageBreak/>
        <w:t xml:space="preserve">2.2 </w:t>
      </w:r>
      <w:r w:rsidR="000A7509" w:rsidRPr="00A3229D">
        <w:rPr>
          <w:rFonts w:ascii="gobCL" w:hAnsi="gobCL"/>
        </w:rPr>
        <w:t>Antecedentes de los Lotes renunciados</w:t>
      </w:r>
    </w:p>
    <w:p w14:paraId="5216FABC" w14:textId="77777777" w:rsidR="008D6104" w:rsidRPr="00886E89" w:rsidRDefault="008D6104" w:rsidP="00F0087F">
      <w:pPr>
        <w:rPr>
          <w:rFonts w:ascii="gobCL" w:hAnsi="gobCL"/>
          <w:sz w:val="20"/>
          <w:szCs w:val="20"/>
        </w:rPr>
      </w:pPr>
    </w:p>
    <w:p w14:paraId="1B3D810F" w14:textId="1FD0490A" w:rsidR="00660C7A" w:rsidRPr="00886E89" w:rsidRDefault="007D4168" w:rsidP="00886E89">
      <w:pPr>
        <w:pStyle w:val="Prrafodelista"/>
        <w:numPr>
          <w:ilvl w:val="0"/>
          <w:numId w:val="50"/>
        </w:numPr>
        <w:rPr>
          <w:rFonts w:ascii="gobCL" w:hAnsi="gobCL"/>
        </w:rPr>
      </w:pPr>
      <w:r>
        <w:rPr>
          <w:rFonts w:ascii="gobCL" w:hAnsi="gobCL"/>
          <w:b/>
          <w:sz w:val="20"/>
          <w:szCs w:val="20"/>
        </w:rPr>
        <w:t xml:space="preserve">Anchoveta </w:t>
      </w:r>
      <w:proofErr w:type="spellStart"/>
      <w:r>
        <w:rPr>
          <w:rFonts w:ascii="gobCL" w:hAnsi="gobCL"/>
          <w:b/>
          <w:sz w:val="20"/>
          <w:szCs w:val="20"/>
        </w:rPr>
        <w:t>AyP</w:t>
      </w:r>
      <w:proofErr w:type="spellEnd"/>
      <w:r>
        <w:rPr>
          <w:rFonts w:ascii="gobCL" w:hAnsi="gobCL"/>
          <w:b/>
          <w:sz w:val="20"/>
          <w:szCs w:val="20"/>
        </w:rPr>
        <w:t xml:space="preserve"> a ANTOF</w:t>
      </w:r>
    </w:p>
    <w:p w14:paraId="6B54B391" w14:textId="40A18F93" w:rsidR="002E6E3F" w:rsidRPr="00A3229D" w:rsidRDefault="002E6E3F" w:rsidP="000F33E1">
      <w:pPr>
        <w:rPr>
          <w:rFonts w:ascii="gobCL" w:hAnsi="gobCL"/>
          <w:b/>
          <w:sz w:val="20"/>
          <w:szCs w:val="20"/>
        </w:rPr>
      </w:pPr>
    </w:p>
    <w:p w14:paraId="250FC02B" w14:textId="12B8CECE" w:rsidR="00605257" w:rsidRDefault="00660C7A" w:rsidP="00660C7A">
      <w:pPr>
        <w:pStyle w:val="Textoindependiente"/>
        <w:rPr>
          <w:rFonts w:ascii="gobCL" w:hAnsi="gobCL"/>
        </w:rPr>
      </w:pPr>
      <w:r w:rsidRPr="00A3229D">
        <w:rPr>
          <w:rFonts w:ascii="gobCL" w:hAnsi="gobCL"/>
        </w:rPr>
        <w:t xml:space="preserve">En el año 2018, se subastó las LTP clase B de </w:t>
      </w:r>
      <w:r w:rsidR="00077A31">
        <w:rPr>
          <w:rFonts w:ascii="gobCL" w:hAnsi="gobCL"/>
        </w:rPr>
        <w:t xml:space="preserve">anchoveta unidad de pesquería </w:t>
      </w:r>
      <w:proofErr w:type="spellStart"/>
      <w:r w:rsidR="00077A31">
        <w:rPr>
          <w:rFonts w:ascii="gobCL" w:hAnsi="gobCL"/>
        </w:rPr>
        <w:t>Ay</w:t>
      </w:r>
      <w:r w:rsidR="00DE6573">
        <w:rPr>
          <w:rFonts w:ascii="gobCL" w:hAnsi="gobCL"/>
        </w:rPr>
        <w:t>P</w:t>
      </w:r>
      <w:proofErr w:type="spellEnd"/>
      <w:r w:rsidR="00077A31">
        <w:rPr>
          <w:rFonts w:ascii="gobCL" w:hAnsi="gobCL"/>
        </w:rPr>
        <w:t xml:space="preserve"> a ANTOF</w:t>
      </w:r>
      <w:r w:rsidRPr="00A3229D">
        <w:rPr>
          <w:rFonts w:ascii="gobCL" w:hAnsi="gobCL"/>
        </w:rPr>
        <w:t xml:space="preserve">, mediante resoluciones se le otorgó </w:t>
      </w:r>
      <w:r w:rsidR="00EB565F">
        <w:rPr>
          <w:rFonts w:ascii="gobCL" w:hAnsi="gobCL"/>
        </w:rPr>
        <w:t xml:space="preserve">lotes categorizados EMT </w:t>
      </w:r>
      <w:r w:rsidRPr="00A3229D">
        <w:rPr>
          <w:rFonts w:ascii="gobCL" w:hAnsi="gobCL"/>
        </w:rPr>
        <w:t>al titul</w:t>
      </w:r>
      <w:r w:rsidR="00077A31">
        <w:rPr>
          <w:rFonts w:ascii="gobCL" w:hAnsi="gobCL"/>
        </w:rPr>
        <w:t>ar</w:t>
      </w:r>
      <w:r w:rsidRPr="00A3229D">
        <w:rPr>
          <w:rFonts w:ascii="gobCL" w:hAnsi="gobCL"/>
        </w:rPr>
        <w:t xml:space="preserve"> </w:t>
      </w:r>
      <w:r w:rsidR="00605257">
        <w:rPr>
          <w:rFonts w:ascii="gobCL" w:hAnsi="gobCL"/>
        </w:rPr>
        <w:t xml:space="preserve">Procesos Tecnológicos del Bio Bío SpA </w:t>
      </w:r>
      <w:r w:rsidRPr="00A3229D">
        <w:rPr>
          <w:rFonts w:ascii="gobCL" w:hAnsi="gobCL"/>
        </w:rPr>
        <w:t>LTP B</w:t>
      </w:r>
      <w:r w:rsidR="00671833">
        <w:rPr>
          <w:rFonts w:ascii="gobCL" w:hAnsi="gobCL"/>
        </w:rPr>
        <w:t>,</w:t>
      </w:r>
      <w:r w:rsidRPr="00A3229D">
        <w:rPr>
          <w:rFonts w:ascii="gobCL" w:hAnsi="gobCL"/>
        </w:rPr>
        <w:t xml:space="preserve"> vigentes</w:t>
      </w:r>
      <w:r w:rsidR="00671833">
        <w:rPr>
          <w:rFonts w:ascii="gobCL" w:hAnsi="gobCL"/>
        </w:rPr>
        <w:t xml:space="preserve"> </w:t>
      </w:r>
      <w:r w:rsidRPr="00A3229D">
        <w:rPr>
          <w:rFonts w:ascii="gobCL" w:hAnsi="gobCL"/>
        </w:rPr>
        <w:t xml:space="preserve">desde </w:t>
      </w:r>
      <w:r w:rsidR="00671833">
        <w:rPr>
          <w:rFonts w:ascii="gobCL" w:hAnsi="gobCL"/>
        </w:rPr>
        <w:t>enero d</w:t>
      </w:r>
      <w:r w:rsidRPr="00A3229D">
        <w:rPr>
          <w:rFonts w:ascii="gobCL" w:hAnsi="gobCL"/>
        </w:rPr>
        <w:t xml:space="preserve">el año 2019. Posteriormente, el titular </w:t>
      </w:r>
      <w:r w:rsidR="00605257" w:rsidRPr="00605257">
        <w:rPr>
          <w:rFonts w:ascii="gobCL" w:hAnsi="gobCL"/>
        </w:rPr>
        <w:t xml:space="preserve">Procesos Tecnológicos del Bio Bío SpA </w:t>
      </w:r>
      <w:r w:rsidRPr="00A3229D">
        <w:rPr>
          <w:rFonts w:ascii="gobCL" w:hAnsi="gobCL"/>
        </w:rPr>
        <w:t xml:space="preserve">celebró contrato de compraventa con </w:t>
      </w:r>
      <w:r w:rsidR="00605257">
        <w:rPr>
          <w:rFonts w:ascii="gobCL" w:hAnsi="gobCL"/>
        </w:rPr>
        <w:t>Sindicato Pesquero del Norte SpA</w:t>
      </w:r>
      <w:r w:rsidR="006C1656">
        <w:rPr>
          <w:rFonts w:ascii="gobCL" w:hAnsi="gobCL"/>
        </w:rPr>
        <w:t xml:space="preserve"> donde </w:t>
      </w:r>
      <w:r w:rsidR="006C1656" w:rsidRPr="00A3229D">
        <w:rPr>
          <w:rFonts w:ascii="gobCL" w:hAnsi="gobCL"/>
        </w:rPr>
        <w:t>vendió, cedió y transfirió</w:t>
      </w:r>
      <w:r w:rsidR="006C1656">
        <w:rPr>
          <w:rFonts w:ascii="gobCL" w:hAnsi="gobCL"/>
        </w:rPr>
        <w:t xml:space="preserve"> a este último</w:t>
      </w:r>
      <w:r w:rsidR="001B383F">
        <w:rPr>
          <w:rFonts w:ascii="gobCL" w:hAnsi="gobCL"/>
        </w:rPr>
        <w:t xml:space="preserve"> en su totalidad</w:t>
      </w:r>
      <w:r w:rsidR="006C1656">
        <w:rPr>
          <w:rFonts w:ascii="gobCL" w:hAnsi="gobCL"/>
        </w:rPr>
        <w:t xml:space="preserve">, </w:t>
      </w:r>
      <w:r w:rsidR="00605257">
        <w:rPr>
          <w:rFonts w:ascii="gobCL" w:hAnsi="gobCL"/>
        </w:rPr>
        <w:t xml:space="preserve">los lotes que se indican a continuación en Tabla </w:t>
      </w:r>
      <w:r w:rsidR="00EB565F">
        <w:rPr>
          <w:rFonts w:ascii="gobCL" w:hAnsi="gobCL"/>
        </w:rPr>
        <w:t>1.</w:t>
      </w:r>
    </w:p>
    <w:p w14:paraId="2ECBB2D6" w14:textId="77777777" w:rsidR="00EB565F" w:rsidRDefault="00EB565F" w:rsidP="00660C7A">
      <w:pPr>
        <w:pStyle w:val="Textoindependiente"/>
        <w:rPr>
          <w:rFonts w:ascii="gobCL" w:hAnsi="gobCL"/>
        </w:rPr>
      </w:pPr>
    </w:p>
    <w:p w14:paraId="45136590" w14:textId="2CC1B3F9" w:rsidR="00605257" w:rsidRDefault="00EB565F" w:rsidP="00660C7A">
      <w:pPr>
        <w:pStyle w:val="Textoindependiente"/>
        <w:rPr>
          <w:rFonts w:ascii="gobCL" w:hAnsi="gobCL"/>
        </w:rPr>
      </w:pPr>
      <w:r>
        <w:rPr>
          <w:rFonts w:ascii="gobCL" w:hAnsi="gobCL"/>
        </w:rPr>
        <w:t xml:space="preserve">Tabla1. Antecedentes de compraventa de Lotes </w:t>
      </w:r>
      <w:r w:rsidR="00D11EC9">
        <w:rPr>
          <w:rFonts w:ascii="gobCL" w:hAnsi="gobCL"/>
        </w:rPr>
        <w:t>desde Procesos Tecnológicos del Bio Bío SpA hacia Sindicato Pesquero del Norte SpA, anchoveta norte.</w:t>
      </w:r>
    </w:p>
    <w:p w14:paraId="5007410E" w14:textId="77777777" w:rsidR="005D29DF" w:rsidRDefault="005D29DF" w:rsidP="00660C7A">
      <w:pPr>
        <w:pStyle w:val="Textoindependiente"/>
        <w:rPr>
          <w:rFonts w:ascii="gobCL" w:hAnsi="gob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1191"/>
        <w:gridCol w:w="1644"/>
        <w:gridCol w:w="1587"/>
      </w:tblGrid>
      <w:tr w:rsidR="00D11EC9" w:rsidRPr="00DB48F0" w14:paraId="2A384F6B" w14:textId="77777777" w:rsidTr="00D11EC9">
        <w:trPr>
          <w:jc w:val="center"/>
        </w:trPr>
        <w:tc>
          <w:tcPr>
            <w:tcW w:w="2310" w:type="dxa"/>
            <w:vAlign w:val="center"/>
          </w:tcPr>
          <w:p w14:paraId="273DEE0B" w14:textId="05648D38" w:rsidR="00180C8A" w:rsidRPr="00DB48F0" w:rsidRDefault="00180C8A" w:rsidP="00D11EC9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Resolución compraventa</w:t>
            </w:r>
          </w:p>
        </w:tc>
        <w:tc>
          <w:tcPr>
            <w:tcW w:w="1191" w:type="dxa"/>
            <w:vAlign w:val="center"/>
          </w:tcPr>
          <w:p w14:paraId="0DE1E68E" w14:textId="6DAA593F" w:rsidR="00180C8A" w:rsidRPr="00DB48F0" w:rsidRDefault="00180C8A" w:rsidP="00D11EC9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Lote</w:t>
            </w:r>
          </w:p>
        </w:tc>
        <w:tc>
          <w:tcPr>
            <w:tcW w:w="1644" w:type="dxa"/>
            <w:vAlign w:val="center"/>
          </w:tcPr>
          <w:p w14:paraId="2E567ECC" w14:textId="702FFDF4" w:rsidR="00180C8A" w:rsidRPr="00DB48F0" w:rsidRDefault="00180C8A" w:rsidP="00D11EC9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Coeficiente</w:t>
            </w:r>
          </w:p>
        </w:tc>
        <w:tc>
          <w:tcPr>
            <w:tcW w:w="1587" w:type="dxa"/>
            <w:vAlign w:val="center"/>
          </w:tcPr>
          <w:p w14:paraId="474B2E34" w14:textId="5763A32F" w:rsidR="00180C8A" w:rsidRPr="00DB48F0" w:rsidRDefault="00180C8A" w:rsidP="00D11EC9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Porcentaje</w:t>
            </w:r>
          </w:p>
        </w:tc>
      </w:tr>
      <w:tr w:rsidR="00D11EC9" w:rsidRPr="00DB48F0" w14:paraId="47F1D141" w14:textId="77777777" w:rsidTr="00D11EC9">
        <w:trPr>
          <w:jc w:val="center"/>
        </w:trPr>
        <w:tc>
          <w:tcPr>
            <w:tcW w:w="2310" w:type="dxa"/>
            <w:vAlign w:val="center"/>
          </w:tcPr>
          <w:p w14:paraId="4D4B7D22" w14:textId="5B2BC1B6" w:rsidR="00841AEE" w:rsidRPr="00DB48F0" w:rsidRDefault="00F27685" w:rsidP="00D11EC9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2080-2021</w:t>
            </w:r>
          </w:p>
        </w:tc>
        <w:tc>
          <w:tcPr>
            <w:tcW w:w="1191" w:type="dxa"/>
            <w:vAlign w:val="center"/>
          </w:tcPr>
          <w:p w14:paraId="640C6335" w14:textId="38B34640" w:rsidR="00841AEE" w:rsidRPr="00DB48F0" w:rsidRDefault="00F27685" w:rsidP="00D11EC9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</w:t>
            </w:r>
          </w:p>
        </w:tc>
        <w:tc>
          <w:tcPr>
            <w:tcW w:w="1644" w:type="dxa"/>
            <w:vAlign w:val="center"/>
          </w:tcPr>
          <w:p w14:paraId="4A46CAA2" w14:textId="0B929B42" w:rsidR="00841AEE" w:rsidRPr="00DB48F0" w:rsidRDefault="00F27685" w:rsidP="00D11EC9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0,0005000</w:t>
            </w:r>
          </w:p>
        </w:tc>
        <w:tc>
          <w:tcPr>
            <w:tcW w:w="1587" w:type="dxa"/>
            <w:vAlign w:val="center"/>
          </w:tcPr>
          <w:p w14:paraId="18D895A6" w14:textId="29950D5C" w:rsidR="00841AEE" w:rsidRPr="00DB48F0" w:rsidRDefault="009E6BAC" w:rsidP="00D11EC9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1,00%</w:t>
            </w:r>
          </w:p>
        </w:tc>
      </w:tr>
      <w:tr w:rsidR="009E6BAC" w:rsidRPr="00DB48F0" w14:paraId="69DCFAA7" w14:textId="77777777" w:rsidTr="003077E8">
        <w:trPr>
          <w:jc w:val="center"/>
        </w:trPr>
        <w:tc>
          <w:tcPr>
            <w:tcW w:w="2310" w:type="dxa"/>
            <w:vAlign w:val="center"/>
          </w:tcPr>
          <w:p w14:paraId="19571BF8" w14:textId="2A90F64C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2081-2021</w:t>
            </w:r>
          </w:p>
        </w:tc>
        <w:tc>
          <w:tcPr>
            <w:tcW w:w="1191" w:type="dxa"/>
            <w:vAlign w:val="center"/>
          </w:tcPr>
          <w:p w14:paraId="3DD8ACA5" w14:textId="16457D2E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3</w:t>
            </w:r>
          </w:p>
        </w:tc>
        <w:tc>
          <w:tcPr>
            <w:tcW w:w="1644" w:type="dxa"/>
            <w:vAlign w:val="center"/>
          </w:tcPr>
          <w:p w14:paraId="3C640E95" w14:textId="76558AEE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0,0005000</w:t>
            </w:r>
          </w:p>
        </w:tc>
        <w:tc>
          <w:tcPr>
            <w:tcW w:w="1587" w:type="dxa"/>
          </w:tcPr>
          <w:p w14:paraId="65903F65" w14:textId="59C667BC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1,00%</w:t>
            </w:r>
          </w:p>
        </w:tc>
      </w:tr>
      <w:tr w:rsidR="009E6BAC" w:rsidRPr="00DB48F0" w14:paraId="65266964" w14:textId="77777777" w:rsidTr="003077E8">
        <w:trPr>
          <w:jc w:val="center"/>
        </w:trPr>
        <w:tc>
          <w:tcPr>
            <w:tcW w:w="2310" w:type="dxa"/>
            <w:vAlign w:val="center"/>
          </w:tcPr>
          <w:p w14:paraId="19CB7242" w14:textId="763ADC5E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2082-2021</w:t>
            </w:r>
          </w:p>
        </w:tc>
        <w:tc>
          <w:tcPr>
            <w:tcW w:w="1191" w:type="dxa"/>
            <w:vAlign w:val="center"/>
          </w:tcPr>
          <w:p w14:paraId="2CEB0FB1" w14:textId="4B24FC35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4</w:t>
            </w:r>
          </w:p>
        </w:tc>
        <w:tc>
          <w:tcPr>
            <w:tcW w:w="1644" w:type="dxa"/>
            <w:vAlign w:val="center"/>
          </w:tcPr>
          <w:p w14:paraId="50C5B83D" w14:textId="0FE9E32B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0,0005000</w:t>
            </w:r>
          </w:p>
        </w:tc>
        <w:tc>
          <w:tcPr>
            <w:tcW w:w="1587" w:type="dxa"/>
          </w:tcPr>
          <w:p w14:paraId="4C39EC2D" w14:textId="2B86861E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1,00%</w:t>
            </w:r>
          </w:p>
        </w:tc>
      </w:tr>
      <w:tr w:rsidR="009E6BAC" w:rsidRPr="00DB48F0" w14:paraId="2B15BE9C" w14:textId="77777777" w:rsidTr="003077E8">
        <w:trPr>
          <w:jc w:val="center"/>
        </w:trPr>
        <w:tc>
          <w:tcPr>
            <w:tcW w:w="2310" w:type="dxa"/>
            <w:vAlign w:val="center"/>
          </w:tcPr>
          <w:p w14:paraId="2EE15962" w14:textId="16CBD10E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2083-2021</w:t>
            </w:r>
          </w:p>
        </w:tc>
        <w:tc>
          <w:tcPr>
            <w:tcW w:w="1191" w:type="dxa"/>
            <w:vAlign w:val="center"/>
          </w:tcPr>
          <w:p w14:paraId="162ED3A7" w14:textId="241FCE3E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5</w:t>
            </w:r>
          </w:p>
        </w:tc>
        <w:tc>
          <w:tcPr>
            <w:tcW w:w="1644" w:type="dxa"/>
            <w:vAlign w:val="center"/>
          </w:tcPr>
          <w:p w14:paraId="1D7A7959" w14:textId="13BAD374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0,0005000</w:t>
            </w:r>
          </w:p>
        </w:tc>
        <w:tc>
          <w:tcPr>
            <w:tcW w:w="1587" w:type="dxa"/>
          </w:tcPr>
          <w:p w14:paraId="7E8E1056" w14:textId="62D3F92C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1,00%</w:t>
            </w:r>
          </w:p>
        </w:tc>
      </w:tr>
      <w:tr w:rsidR="009E6BAC" w:rsidRPr="00DB48F0" w14:paraId="01AA31F1" w14:textId="77777777" w:rsidTr="003077E8">
        <w:trPr>
          <w:jc w:val="center"/>
        </w:trPr>
        <w:tc>
          <w:tcPr>
            <w:tcW w:w="2310" w:type="dxa"/>
            <w:vAlign w:val="center"/>
          </w:tcPr>
          <w:p w14:paraId="574014F0" w14:textId="319F85AD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2084-2021</w:t>
            </w:r>
          </w:p>
        </w:tc>
        <w:tc>
          <w:tcPr>
            <w:tcW w:w="1191" w:type="dxa"/>
            <w:vAlign w:val="center"/>
          </w:tcPr>
          <w:p w14:paraId="507028A8" w14:textId="4FD7FD50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6</w:t>
            </w:r>
          </w:p>
        </w:tc>
        <w:tc>
          <w:tcPr>
            <w:tcW w:w="1644" w:type="dxa"/>
            <w:vAlign w:val="center"/>
          </w:tcPr>
          <w:p w14:paraId="79D49D54" w14:textId="2C1DBA22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0,0005000</w:t>
            </w:r>
          </w:p>
        </w:tc>
        <w:tc>
          <w:tcPr>
            <w:tcW w:w="1587" w:type="dxa"/>
          </w:tcPr>
          <w:p w14:paraId="6CA499B9" w14:textId="790B09BD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1,00%</w:t>
            </w:r>
          </w:p>
        </w:tc>
      </w:tr>
      <w:tr w:rsidR="009E6BAC" w:rsidRPr="00DB48F0" w14:paraId="6A177515" w14:textId="77777777" w:rsidTr="003077E8">
        <w:trPr>
          <w:jc w:val="center"/>
        </w:trPr>
        <w:tc>
          <w:tcPr>
            <w:tcW w:w="2310" w:type="dxa"/>
            <w:vAlign w:val="center"/>
          </w:tcPr>
          <w:p w14:paraId="57A1F312" w14:textId="03ADCA24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2085-2021</w:t>
            </w:r>
          </w:p>
        </w:tc>
        <w:tc>
          <w:tcPr>
            <w:tcW w:w="1191" w:type="dxa"/>
            <w:vAlign w:val="center"/>
          </w:tcPr>
          <w:p w14:paraId="7AF6DF70" w14:textId="3D30832C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7</w:t>
            </w:r>
          </w:p>
        </w:tc>
        <w:tc>
          <w:tcPr>
            <w:tcW w:w="1644" w:type="dxa"/>
            <w:vAlign w:val="center"/>
          </w:tcPr>
          <w:p w14:paraId="6BE6CD16" w14:textId="0924FC64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0,0005000</w:t>
            </w:r>
          </w:p>
        </w:tc>
        <w:tc>
          <w:tcPr>
            <w:tcW w:w="1587" w:type="dxa"/>
          </w:tcPr>
          <w:p w14:paraId="1056B982" w14:textId="3781820F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1,00%</w:t>
            </w:r>
          </w:p>
        </w:tc>
      </w:tr>
      <w:tr w:rsidR="009E6BAC" w:rsidRPr="00DB48F0" w14:paraId="0AD9D75D" w14:textId="77777777" w:rsidTr="003077E8">
        <w:trPr>
          <w:jc w:val="center"/>
        </w:trPr>
        <w:tc>
          <w:tcPr>
            <w:tcW w:w="2310" w:type="dxa"/>
            <w:vAlign w:val="center"/>
          </w:tcPr>
          <w:p w14:paraId="560F3045" w14:textId="073CC52D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2086-2021</w:t>
            </w:r>
          </w:p>
        </w:tc>
        <w:tc>
          <w:tcPr>
            <w:tcW w:w="1191" w:type="dxa"/>
            <w:vAlign w:val="center"/>
          </w:tcPr>
          <w:p w14:paraId="1FBBB54A" w14:textId="4165158E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8</w:t>
            </w:r>
          </w:p>
        </w:tc>
        <w:tc>
          <w:tcPr>
            <w:tcW w:w="1644" w:type="dxa"/>
            <w:vAlign w:val="center"/>
          </w:tcPr>
          <w:p w14:paraId="7F2692C6" w14:textId="11D954B7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0,0005000</w:t>
            </w:r>
          </w:p>
        </w:tc>
        <w:tc>
          <w:tcPr>
            <w:tcW w:w="1587" w:type="dxa"/>
          </w:tcPr>
          <w:p w14:paraId="05D9AD4B" w14:textId="7E675096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1,00%</w:t>
            </w:r>
          </w:p>
        </w:tc>
      </w:tr>
      <w:tr w:rsidR="009E6BAC" w:rsidRPr="00DB48F0" w14:paraId="67DE13F4" w14:textId="77777777" w:rsidTr="003077E8">
        <w:trPr>
          <w:jc w:val="center"/>
        </w:trPr>
        <w:tc>
          <w:tcPr>
            <w:tcW w:w="2310" w:type="dxa"/>
            <w:vAlign w:val="center"/>
          </w:tcPr>
          <w:p w14:paraId="15811BEB" w14:textId="6C932AFF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2087-2021</w:t>
            </w:r>
          </w:p>
        </w:tc>
        <w:tc>
          <w:tcPr>
            <w:tcW w:w="1191" w:type="dxa"/>
            <w:vAlign w:val="center"/>
          </w:tcPr>
          <w:p w14:paraId="1518CB3C" w14:textId="4648DF60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9</w:t>
            </w:r>
          </w:p>
        </w:tc>
        <w:tc>
          <w:tcPr>
            <w:tcW w:w="1644" w:type="dxa"/>
            <w:vAlign w:val="center"/>
          </w:tcPr>
          <w:p w14:paraId="73396D7F" w14:textId="5B98839C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0,0005000</w:t>
            </w:r>
          </w:p>
        </w:tc>
        <w:tc>
          <w:tcPr>
            <w:tcW w:w="1587" w:type="dxa"/>
          </w:tcPr>
          <w:p w14:paraId="7D2AA3E2" w14:textId="5C8B9435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1,00%</w:t>
            </w:r>
          </w:p>
        </w:tc>
      </w:tr>
      <w:tr w:rsidR="009E6BAC" w:rsidRPr="00DB48F0" w14:paraId="60946EB7" w14:textId="77777777" w:rsidTr="003077E8">
        <w:trPr>
          <w:jc w:val="center"/>
        </w:trPr>
        <w:tc>
          <w:tcPr>
            <w:tcW w:w="2310" w:type="dxa"/>
            <w:vAlign w:val="center"/>
          </w:tcPr>
          <w:p w14:paraId="65B119C2" w14:textId="7E746469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2088-2021</w:t>
            </w:r>
          </w:p>
        </w:tc>
        <w:tc>
          <w:tcPr>
            <w:tcW w:w="1191" w:type="dxa"/>
            <w:vAlign w:val="center"/>
          </w:tcPr>
          <w:p w14:paraId="563602F7" w14:textId="0D3B65FA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10</w:t>
            </w:r>
          </w:p>
        </w:tc>
        <w:tc>
          <w:tcPr>
            <w:tcW w:w="1644" w:type="dxa"/>
            <w:vAlign w:val="center"/>
          </w:tcPr>
          <w:p w14:paraId="711C8F40" w14:textId="3AC3E051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0,0005000</w:t>
            </w:r>
          </w:p>
        </w:tc>
        <w:tc>
          <w:tcPr>
            <w:tcW w:w="1587" w:type="dxa"/>
          </w:tcPr>
          <w:p w14:paraId="6FB07C10" w14:textId="71C1B00F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1,00%</w:t>
            </w:r>
          </w:p>
        </w:tc>
      </w:tr>
      <w:tr w:rsidR="00D11EC9" w:rsidRPr="00DB48F0" w14:paraId="5058405B" w14:textId="77777777" w:rsidTr="00D11EC9">
        <w:trPr>
          <w:jc w:val="center"/>
        </w:trPr>
        <w:tc>
          <w:tcPr>
            <w:tcW w:w="2310" w:type="dxa"/>
            <w:vAlign w:val="center"/>
          </w:tcPr>
          <w:p w14:paraId="76C5858C" w14:textId="5DC00CA3" w:rsidR="00EB565F" w:rsidRPr="00DB48F0" w:rsidRDefault="00EB565F" w:rsidP="00D11EC9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2089-2021</w:t>
            </w:r>
          </w:p>
        </w:tc>
        <w:tc>
          <w:tcPr>
            <w:tcW w:w="1191" w:type="dxa"/>
            <w:vAlign w:val="center"/>
          </w:tcPr>
          <w:p w14:paraId="12A14DCA" w14:textId="5A335176" w:rsidR="00EB565F" w:rsidRPr="00DB48F0" w:rsidRDefault="00EB565F" w:rsidP="00D11EC9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11</w:t>
            </w:r>
          </w:p>
        </w:tc>
        <w:tc>
          <w:tcPr>
            <w:tcW w:w="1644" w:type="dxa"/>
            <w:vAlign w:val="center"/>
          </w:tcPr>
          <w:p w14:paraId="5131F0A9" w14:textId="7A07A487" w:rsidR="00EB565F" w:rsidRPr="00DB48F0" w:rsidRDefault="00EB565F" w:rsidP="00D11EC9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0,0010000</w:t>
            </w:r>
          </w:p>
        </w:tc>
        <w:tc>
          <w:tcPr>
            <w:tcW w:w="1587" w:type="dxa"/>
            <w:vAlign w:val="center"/>
          </w:tcPr>
          <w:p w14:paraId="03EA58AB" w14:textId="41B3CFB9" w:rsidR="00EB565F" w:rsidRPr="00DB48F0" w:rsidRDefault="009E6BAC" w:rsidP="00D11EC9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2,00%</w:t>
            </w:r>
          </w:p>
        </w:tc>
      </w:tr>
      <w:tr w:rsidR="009E6BAC" w:rsidRPr="00DB48F0" w14:paraId="29B0637F" w14:textId="77777777" w:rsidTr="00457D69">
        <w:trPr>
          <w:jc w:val="center"/>
        </w:trPr>
        <w:tc>
          <w:tcPr>
            <w:tcW w:w="2310" w:type="dxa"/>
            <w:vAlign w:val="center"/>
          </w:tcPr>
          <w:p w14:paraId="36A28499" w14:textId="514C3510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2090-2021</w:t>
            </w:r>
          </w:p>
        </w:tc>
        <w:tc>
          <w:tcPr>
            <w:tcW w:w="1191" w:type="dxa"/>
            <w:vAlign w:val="center"/>
          </w:tcPr>
          <w:p w14:paraId="13C5BAF9" w14:textId="5986EFBB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12</w:t>
            </w:r>
          </w:p>
        </w:tc>
        <w:tc>
          <w:tcPr>
            <w:tcW w:w="1644" w:type="dxa"/>
            <w:vAlign w:val="center"/>
          </w:tcPr>
          <w:p w14:paraId="23A2B0AF" w14:textId="2C84B1E7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0,0010000</w:t>
            </w:r>
          </w:p>
        </w:tc>
        <w:tc>
          <w:tcPr>
            <w:tcW w:w="1587" w:type="dxa"/>
          </w:tcPr>
          <w:p w14:paraId="3360F554" w14:textId="6FC1693C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2,00%</w:t>
            </w:r>
          </w:p>
        </w:tc>
      </w:tr>
      <w:tr w:rsidR="009E6BAC" w:rsidRPr="00DB48F0" w14:paraId="0E4D6677" w14:textId="77777777" w:rsidTr="00457D69">
        <w:trPr>
          <w:jc w:val="center"/>
        </w:trPr>
        <w:tc>
          <w:tcPr>
            <w:tcW w:w="2310" w:type="dxa"/>
            <w:vAlign w:val="center"/>
          </w:tcPr>
          <w:p w14:paraId="44BF6C82" w14:textId="55D00B4E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2091-2021</w:t>
            </w:r>
          </w:p>
        </w:tc>
        <w:tc>
          <w:tcPr>
            <w:tcW w:w="1191" w:type="dxa"/>
            <w:vAlign w:val="center"/>
          </w:tcPr>
          <w:p w14:paraId="7EB29628" w14:textId="48AE89F4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13</w:t>
            </w:r>
          </w:p>
        </w:tc>
        <w:tc>
          <w:tcPr>
            <w:tcW w:w="1644" w:type="dxa"/>
            <w:vAlign w:val="center"/>
          </w:tcPr>
          <w:p w14:paraId="2437820E" w14:textId="05FB8D64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0,0010000</w:t>
            </w:r>
          </w:p>
        </w:tc>
        <w:tc>
          <w:tcPr>
            <w:tcW w:w="1587" w:type="dxa"/>
          </w:tcPr>
          <w:p w14:paraId="008520F1" w14:textId="69EF0939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2,00%</w:t>
            </w:r>
          </w:p>
        </w:tc>
      </w:tr>
      <w:tr w:rsidR="009E6BAC" w:rsidRPr="00DB48F0" w14:paraId="7972B37A" w14:textId="77777777" w:rsidTr="00457D69">
        <w:trPr>
          <w:jc w:val="center"/>
        </w:trPr>
        <w:tc>
          <w:tcPr>
            <w:tcW w:w="2310" w:type="dxa"/>
            <w:vAlign w:val="center"/>
          </w:tcPr>
          <w:p w14:paraId="339E6FF4" w14:textId="7F950F37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2092-2021</w:t>
            </w:r>
          </w:p>
        </w:tc>
        <w:tc>
          <w:tcPr>
            <w:tcW w:w="1191" w:type="dxa"/>
            <w:vAlign w:val="center"/>
          </w:tcPr>
          <w:p w14:paraId="6039A487" w14:textId="013DD3DC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14</w:t>
            </w:r>
          </w:p>
        </w:tc>
        <w:tc>
          <w:tcPr>
            <w:tcW w:w="1644" w:type="dxa"/>
            <w:vAlign w:val="center"/>
          </w:tcPr>
          <w:p w14:paraId="1E69B46C" w14:textId="1E6BE775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0,0010000</w:t>
            </w:r>
          </w:p>
        </w:tc>
        <w:tc>
          <w:tcPr>
            <w:tcW w:w="1587" w:type="dxa"/>
          </w:tcPr>
          <w:p w14:paraId="583B63DB" w14:textId="1241B53D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2,00%</w:t>
            </w:r>
          </w:p>
        </w:tc>
      </w:tr>
      <w:tr w:rsidR="009E6BAC" w:rsidRPr="00DB48F0" w14:paraId="189E829C" w14:textId="77777777" w:rsidTr="00457D69">
        <w:trPr>
          <w:jc w:val="center"/>
        </w:trPr>
        <w:tc>
          <w:tcPr>
            <w:tcW w:w="2310" w:type="dxa"/>
            <w:vAlign w:val="center"/>
          </w:tcPr>
          <w:p w14:paraId="22F57D30" w14:textId="29D8258E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2093-2021</w:t>
            </w:r>
          </w:p>
        </w:tc>
        <w:tc>
          <w:tcPr>
            <w:tcW w:w="1191" w:type="dxa"/>
            <w:vAlign w:val="center"/>
          </w:tcPr>
          <w:p w14:paraId="3ED0545C" w14:textId="10C56D65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15</w:t>
            </w:r>
          </w:p>
        </w:tc>
        <w:tc>
          <w:tcPr>
            <w:tcW w:w="1644" w:type="dxa"/>
            <w:vAlign w:val="center"/>
          </w:tcPr>
          <w:p w14:paraId="5941108E" w14:textId="2C9B3AD6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0,0010000</w:t>
            </w:r>
          </w:p>
        </w:tc>
        <w:tc>
          <w:tcPr>
            <w:tcW w:w="1587" w:type="dxa"/>
          </w:tcPr>
          <w:p w14:paraId="30250E33" w14:textId="7DD29D5A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2,00%</w:t>
            </w:r>
          </w:p>
        </w:tc>
      </w:tr>
      <w:tr w:rsidR="009E6BAC" w:rsidRPr="00DB48F0" w14:paraId="7B6ADBFE" w14:textId="77777777" w:rsidTr="00457D69">
        <w:trPr>
          <w:jc w:val="center"/>
        </w:trPr>
        <w:tc>
          <w:tcPr>
            <w:tcW w:w="2310" w:type="dxa"/>
            <w:vAlign w:val="center"/>
          </w:tcPr>
          <w:p w14:paraId="347CD4EA" w14:textId="73A3194C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2094-2021</w:t>
            </w:r>
          </w:p>
        </w:tc>
        <w:tc>
          <w:tcPr>
            <w:tcW w:w="1191" w:type="dxa"/>
            <w:vAlign w:val="center"/>
          </w:tcPr>
          <w:p w14:paraId="3400E841" w14:textId="6CD33A2B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16</w:t>
            </w:r>
          </w:p>
        </w:tc>
        <w:tc>
          <w:tcPr>
            <w:tcW w:w="1644" w:type="dxa"/>
            <w:vAlign w:val="center"/>
          </w:tcPr>
          <w:p w14:paraId="21DAD7E3" w14:textId="6FA116AD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0,0010000</w:t>
            </w:r>
          </w:p>
        </w:tc>
        <w:tc>
          <w:tcPr>
            <w:tcW w:w="1587" w:type="dxa"/>
          </w:tcPr>
          <w:p w14:paraId="6398E3DF" w14:textId="13EB8EBE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2,00%</w:t>
            </w:r>
          </w:p>
        </w:tc>
      </w:tr>
      <w:tr w:rsidR="009E6BAC" w:rsidRPr="00DB48F0" w14:paraId="5976BF1A" w14:textId="77777777" w:rsidTr="00457D69">
        <w:trPr>
          <w:jc w:val="center"/>
        </w:trPr>
        <w:tc>
          <w:tcPr>
            <w:tcW w:w="2310" w:type="dxa"/>
            <w:vAlign w:val="center"/>
          </w:tcPr>
          <w:p w14:paraId="5839EDDA" w14:textId="6F60A71F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2095-2021</w:t>
            </w:r>
          </w:p>
        </w:tc>
        <w:tc>
          <w:tcPr>
            <w:tcW w:w="1191" w:type="dxa"/>
            <w:vAlign w:val="center"/>
          </w:tcPr>
          <w:p w14:paraId="4166B1BE" w14:textId="7176AD8D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17</w:t>
            </w:r>
          </w:p>
        </w:tc>
        <w:tc>
          <w:tcPr>
            <w:tcW w:w="1644" w:type="dxa"/>
            <w:vAlign w:val="center"/>
          </w:tcPr>
          <w:p w14:paraId="1BBD8EEE" w14:textId="11EFDADE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0,0010000</w:t>
            </w:r>
          </w:p>
        </w:tc>
        <w:tc>
          <w:tcPr>
            <w:tcW w:w="1587" w:type="dxa"/>
          </w:tcPr>
          <w:p w14:paraId="5221102F" w14:textId="4ECFCB0A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2,00%</w:t>
            </w:r>
          </w:p>
        </w:tc>
      </w:tr>
      <w:tr w:rsidR="009E6BAC" w:rsidRPr="00DB48F0" w14:paraId="43522740" w14:textId="77777777" w:rsidTr="00457D69">
        <w:trPr>
          <w:jc w:val="center"/>
        </w:trPr>
        <w:tc>
          <w:tcPr>
            <w:tcW w:w="2310" w:type="dxa"/>
            <w:vAlign w:val="center"/>
          </w:tcPr>
          <w:p w14:paraId="7BBC9678" w14:textId="5FD114AE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2096-2021</w:t>
            </w:r>
          </w:p>
        </w:tc>
        <w:tc>
          <w:tcPr>
            <w:tcW w:w="1191" w:type="dxa"/>
            <w:vAlign w:val="center"/>
          </w:tcPr>
          <w:p w14:paraId="0CE56E43" w14:textId="477D95A5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18</w:t>
            </w:r>
          </w:p>
        </w:tc>
        <w:tc>
          <w:tcPr>
            <w:tcW w:w="1644" w:type="dxa"/>
            <w:vAlign w:val="center"/>
          </w:tcPr>
          <w:p w14:paraId="58C3ACC5" w14:textId="39AC3F68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0,0010000</w:t>
            </w:r>
          </w:p>
        </w:tc>
        <w:tc>
          <w:tcPr>
            <w:tcW w:w="1587" w:type="dxa"/>
          </w:tcPr>
          <w:p w14:paraId="65C7F6C1" w14:textId="14AD2B6F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2,00%</w:t>
            </w:r>
          </w:p>
        </w:tc>
      </w:tr>
      <w:tr w:rsidR="009E6BAC" w:rsidRPr="00DB48F0" w14:paraId="636F43E8" w14:textId="77777777" w:rsidTr="00457D69">
        <w:trPr>
          <w:jc w:val="center"/>
        </w:trPr>
        <w:tc>
          <w:tcPr>
            <w:tcW w:w="2310" w:type="dxa"/>
            <w:vAlign w:val="center"/>
          </w:tcPr>
          <w:p w14:paraId="1F9BC5BB" w14:textId="4D0134C9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2094-2021</w:t>
            </w:r>
          </w:p>
        </w:tc>
        <w:tc>
          <w:tcPr>
            <w:tcW w:w="1191" w:type="dxa"/>
            <w:vAlign w:val="center"/>
          </w:tcPr>
          <w:p w14:paraId="35FD6C81" w14:textId="0322F0BD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19</w:t>
            </w:r>
          </w:p>
        </w:tc>
        <w:tc>
          <w:tcPr>
            <w:tcW w:w="1644" w:type="dxa"/>
            <w:vAlign w:val="center"/>
          </w:tcPr>
          <w:p w14:paraId="563854F9" w14:textId="20093A92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0,0010000</w:t>
            </w:r>
          </w:p>
        </w:tc>
        <w:tc>
          <w:tcPr>
            <w:tcW w:w="1587" w:type="dxa"/>
          </w:tcPr>
          <w:p w14:paraId="4A20B291" w14:textId="5267EAE9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2,00%</w:t>
            </w:r>
          </w:p>
        </w:tc>
      </w:tr>
      <w:tr w:rsidR="009E6BAC" w:rsidRPr="00DB48F0" w14:paraId="1F58A49F" w14:textId="77777777" w:rsidTr="00457D69">
        <w:trPr>
          <w:jc w:val="center"/>
        </w:trPr>
        <w:tc>
          <w:tcPr>
            <w:tcW w:w="2310" w:type="dxa"/>
            <w:vAlign w:val="center"/>
          </w:tcPr>
          <w:p w14:paraId="44E3541D" w14:textId="5CF13B3D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2098-2021</w:t>
            </w:r>
          </w:p>
        </w:tc>
        <w:tc>
          <w:tcPr>
            <w:tcW w:w="1191" w:type="dxa"/>
            <w:vAlign w:val="center"/>
          </w:tcPr>
          <w:p w14:paraId="601EBFAA" w14:textId="4EA5B44C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20</w:t>
            </w:r>
          </w:p>
        </w:tc>
        <w:tc>
          <w:tcPr>
            <w:tcW w:w="1644" w:type="dxa"/>
            <w:vAlign w:val="center"/>
          </w:tcPr>
          <w:p w14:paraId="16ABC283" w14:textId="1D18B8F3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0,0010000</w:t>
            </w:r>
          </w:p>
        </w:tc>
        <w:tc>
          <w:tcPr>
            <w:tcW w:w="1587" w:type="dxa"/>
          </w:tcPr>
          <w:p w14:paraId="5651E8B1" w14:textId="77ABBF36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2,00%</w:t>
            </w:r>
          </w:p>
        </w:tc>
      </w:tr>
      <w:tr w:rsidR="00D11EC9" w:rsidRPr="00DB48F0" w14:paraId="7A412D3A" w14:textId="77777777" w:rsidTr="00D11EC9">
        <w:trPr>
          <w:jc w:val="center"/>
        </w:trPr>
        <w:tc>
          <w:tcPr>
            <w:tcW w:w="2310" w:type="dxa"/>
            <w:vAlign w:val="center"/>
          </w:tcPr>
          <w:p w14:paraId="08F5A583" w14:textId="6F0425E6" w:rsidR="00D11EC9" w:rsidRPr="00DB48F0" w:rsidRDefault="00D11EC9" w:rsidP="00D11EC9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2099-2021</w:t>
            </w:r>
          </w:p>
        </w:tc>
        <w:tc>
          <w:tcPr>
            <w:tcW w:w="1191" w:type="dxa"/>
            <w:vAlign w:val="center"/>
          </w:tcPr>
          <w:p w14:paraId="52DB3881" w14:textId="56C4A45A" w:rsidR="00D11EC9" w:rsidRPr="00DB48F0" w:rsidRDefault="00D11EC9" w:rsidP="00D11EC9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24</w:t>
            </w:r>
          </w:p>
        </w:tc>
        <w:tc>
          <w:tcPr>
            <w:tcW w:w="1644" w:type="dxa"/>
            <w:vAlign w:val="center"/>
          </w:tcPr>
          <w:p w14:paraId="3F138342" w14:textId="4842A966" w:rsidR="00D11EC9" w:rsidRPr="00DB48F0" w:rsidRDefault="00D11EC9" w:rsidP="00D11EC9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0,001</w:t>
            </w:r>
            <w:r w:rsidR="005D29DF">
              <w:rPr>
                <w:rFonts w:ascii="gobCL" w:hAnsi="gobCL"/>
                <w:sz w:val="18"/>
                <w:szCs w:val="22"/>
              </w:rPr>
              <w:t>5</w:t>
            </w:r>
            <w:r w:rsidRPr="00DB48F0">
              <w:rPr>
                <w:rFonts w:ascii="gobCL" w:hAnsi="gobCL"/>
                <w:sz w:val="18"/>
                <w:szCs w:val="22"/>
              </w:rPr>
              <w:t>000</w:t>
            </w:r>
          </w:p>
        </w:tc>
        <w:tc>
          <w:tcPr>
            <w:tcW w:w="1587" w:type="dxa"/>
            <w:vAlign w:val="center"/>
          </w:tcPr>
          <w:p w14:paraId="6A9F3F02" w14:textId="45FABC14" w:rsidR="00D11EC9" w:rsidRPr="00DB48F0" w:rsidRDefault="009E6BAC" w:rsidP="00D11EC9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3,00%</w:t>
            </w:r>
          </w:p>
        </w:tc>
      </w:tr>
    </w:tbl>
    <w:p w14:paraId="793B894A" w14:textId="77777777" w:rsidR="00605257" w:rsidRDefault="00605257" w:rsidP="00660C7A">
      <w:pPr>
        <w:pStyle w:val="Textoindependiente"/>
        <w:rPr>
          <w:rFonts w:ascii="gobCL" w:hAnsi="gobCL"/>
        </w:rPr>
      </w:pPr>
    </w:p>
    <w:p w14:paraId="02AD419D" w14:textId="116593A8" w:rsidR="009E6BAC" w:rsidRDefault="009E6BAC" w:rsidP="009E6BAC">
      <w:pPr>
        <w:pStyle w:val="Textoindependiente"/>
        <w:rPr>
          <w:rFonts w:ascii="gobCL" w:hAnsi="gobCL"/>
        </w:rPr>
      </w:pPr>
      <w:r>
        <w:rPr>
          <w:rFonts w:ascii="gobCL" w:hAnsi="gobCL"/>
        </w:rPr>
        <w:t xml:space="preserve">También </w:t>
      </w:r>
      <w:r w:rsidR="00CB361C">
        <w:rPr>
          <w:rFonts w:ascii="gobCL" w:hAnsi="gobCL"/>
        </w:rPr>
        <w:t xml:space="preserve">durante </w:t>
      </w:r>
      <w:r w:rsidR="001B383F">
        <w:rPr>
          <w:rFonts w:ascii="gobCL" w:hAnsi="gobCL"/>
        </w:rPr>
        <w:t xml:space="preserve">esta </w:t>
      </w:r>
      <w:r w:rsidR="00CB361C">
        <w:rPr>
          <w:rFonts w:ascii="gobCL" w:hAnsi="gobCL"/>
        </w:rPr>
        <w:t xml:space="preserve">subasta </w:t>
      </w:r>
      <w:r w:rsidRPr="00A3229D">
        <w:rPr>
          <w:rFonts w:ascii="gobCL" w:hAnsi="gobCL"/>
        </w:rPr>
        <w:t xml:space="preserve">año 2018, </w:t>
      </w:r>
      <w:r w:rsidR="00CB361C">
        <w:rPr>
          <w:rFonts w:ascii="gobCL" w:hAnsi="gobCL"/>
        </w:rPr>
        <w:t>de recurso</w:t>
      </w:r>
      <w:r w:rsidRPr="00A3229D">
        <w:rPr>
          <w:rFonts w:ascii="gobCL" w:hAnsi="gobCL"/>
        </w:rPr>
        <w:t xml:space="preserve"> </w:t>
      </w:r>
      <w:r>
        <w:rPr>
          <w:rFonts w:ascii="gobCL" w:hAnsi="gobCL"/>
        </w:rPr>
        <w:t xml:space="preserve">anchoveta unidad de pesquería </w:t>
      </w:r>
      <w:proofErr w:type="spellStart"/>
      <w:r>
        <w:rPr>
          <w:rFonts w:ascii="gobCL" w:hAnsi="gobCL"/>
        </w:rPr>
        <w:t>Ay</w:t>
      </w:r>
      <w:r w:rsidR="00EC197B">
        <w:rPr>
          <w:rFonts w:ascii="gobCL" w:hAnsi="gobCL"/>
        </w:rPr>
        <w:t>P</w:t>
      </w:r>
      <w:proofErr w:type="spellEnd"/>
      <w:r>
        <w:rPr>
          <w:rFonts w:ascii="gobCL" w:hAnsi="gobCL"/>
        </w:rPr>
        <w:t xml:space="preserve"> a ANTOF</w:t>
      </w:r>
      <w:r w:rsidRPr="00A3229D">
        <w:rPr>
          <w:rFonts w:ascii="gobCL" w:hAnsi="gobCL"/>
        </w:rPr>
        <w:t xml:space="preserve">, mediante resoluciones se le otorgó </w:t>
      </w:r>
      <w:r>
        <w:rPr>
          <w:rFonts w:ascii="gobCL" w:hAnsi="gobCL"/>
        </w:rPr>
        <w:t xml:space="preserve">lotes categorizados EMT </w:t>
      </w:r>
      <w:r w:rsidRPr="00A3229D">
        <w:rPr>
          <w:rFonts w:ascii="gobCL" w:hAnsi="gobCL"/>
        </w:rPr>
        <w:t>al titul</w:t>
      </w:r>
      <w:r>
        <w:rPr>
          <w:rFonts w:ascii="gobCL" w:hAnsi="gobCL"/>
        </w:rPr>
        <w:t>ar</w:t>
      </w:r>
      <w:r w:rsidR="00CB361C">
        <w:rPr>
          <w:rFonts w:ascii="gobCL" w:hAnsi="gobCL"/>
        </w:rPr>
        <w:t xml:space="preserve"> Servicios Industriales </w:t>
      </w:r>
      <w:r w:rsidR="00DB48F0">
        <w:rPr>
          <w:rFonts w:ascii="gobCL" w:hAnsi="gobCL"/>
        </w:rPr>
        <w:t>L</w:t>
      </w:r>
      <w:r w:rsidR="00CB361C">
        <w:rPr>
          <w:rFonts w:ascii="gobCL" w:hAnsi="gobCL"/>
        </w:rPr>
        <w:t>o Rojas Ltda.</w:t>
      </w:r>
      <w:r>
        <w:rPr>
          <w:rFonts w:ascii="gobCL" w:hAnsi="gobCL"/>
        </w:rPr>
        <w:t>,</w:t>
      </w:r>
      <w:r w:rsidRPr="00A3229D">
        <w:rPr>
          <w:rFonts w:ascii="gobCL" w:hAnsi="gobCL"/>
        </w:rPr>
        <w:t xml:space="preserve"> vigentes</w:t>
      </w:r>
      <w:r>
        <w:rPr>
          <w:rFonts w:ascii="gobCL" w:hAnsi="gobCL"/>
        </w:rPr>
        <w:t xml:space="preserve"> </w:t>
      </w:r>
      <w:r w:rsidRPr="00A3229D">
        <w:rPr>
          <w:rFonts w:ascii="gobCL" w:hAnsi="gobCL"/>
        </w:rPr>
        <w:t xml:space="preserve">desde </w:t>
      </w:r>
      <w:r w:rsidR="00CB361C">
        <w:rPr>
          <w:rFonts w:ascii="gobCL" w:hAnsi="gobCL"/>
        </w:rPr>
        <w:t>febrero</w:t>
      </w:r>
      <w:r>
        <w:rPr>
          <w:rFonts w:ascii="gobCL" w:hAnsi="gobCL"/>
        </w:rPr>
        <w:t xml:space="preserve"> d</w:t>
      </w:r>
      <w:r w:rsidRPr="00A3229D">
        <w:rPr>
          <w:rFonts w:ascii="gobCL" w:hAnsi="gobCL"/>
        </w:rPr>
        <w:t xml:space="preserve">el año 2019. Posteriormente, el titular </w:t>
      </w:r>
      <w:r w:rsidR="00CB361C" w:rsidRPr="00CB361C">
        <w:rPr>
          <w:rFonts w:ascii="gobCL" w:hAnsi="gobCL"/>
        </w:rPr>
        <w:t xml:space="preserve">Servicios Industriales lo Rojas Ltda., </w:t>
      </w:r>
      <w:r w:rsidRPr="00A3229D">
        <w:rPr>
          <w:rFonts w:ascii="gobCL" w:hAnsi="gobCL"/>
        </w:rPr>
        <w:t xml:space="preserve">celebró contrato de compraventa con </w:t>
      </w:r>
      <w:r>
        <w:rPr>
          <w:rFonts w:ascii="gobCL" w:hAnsi="gobCL"/>
        </w:rPr>
        <w:t xml:space="preserve">Sindicato Pesquero del Norte SpA donde </w:t>
      </w:r>
      <w:r w:rsidRPr="00A3229D">
        <w:rPr>
          <w:rFonts w:ascii="gobCL" w:hAnsi="gobCL"/>
        </w:rPr>
        <w:t>vendió, cedió y transfirió</w:t>
      </w:r>
      <w:r>
        <w:rPr>
          <w:rFonts w:ascii="gobCL" w:hAnsi="gobCL"/>
        </w:rPr>
        <w:t xml:space="preserve"> a este último, los lotes que se indican a continuación en Tabla </w:t>
      </w:r>
      <w:r w:rsidR="00CB361C">
        <w:rPr>
          <w:rFonts w:ascii="gobCL" w:hAnsi="gobCL"/>
        </w:rPr>
        <w:t>2</w:t>
      </w:r>
      <w:r>
        <w:rPr>
          <w:rFonts w:ascii="gobCL" w:hAnsi="gobCL"/>
        </w:rPr>
        <w:t>.</w:t>
      </w:r>
    </w:p>
    <w:p w14:paraId="3FF95B96" w14:textId="77777777" w:rsidR="00CB361C" w:rsidRDefault="00CB361C" w:rsidP="00CB361C">
      <w:pPr>
        <w:pStyle w:val="Textoindependiente"/>
        <w:rPr>
          <w:rFonts w:ascii="gobCL" w:hAnsi="gobCL"/>
        </w:rPr>
      </w:pPr>
    </w:p>
    <w:p w14:paraId="1EBD76F2" w14:textId="6D6FA015" w:rsidR="009E6BAC" w:rsidRDefault="00CB361C" w:rsidP="00660C7A">
      <w:pPr>
        <w:pStyle w:val="Textoindependiente"/>
        <w:rPr>
          <w:rFonts w:ascii="gobCL" w:hAnsi="gobCL"/>
        </w:rPr>
      </w:pPr>
      <w:r>
        <w:rPr>
          <w:rFonts w:ascii="gobCL" w:hAnsi="gobCL"/>
        </w:rPr>
        <w:t xml:space="preserve">Tabla2. Antecedentes de compraventa de Lotes desde </w:t>
      </w:r>
      <w:r w:rsidR="00C64DCD" w:rsidRPr="00C64DCD">
        <w:rPr>
          <w:rFonts w:ascii="gobCL" w:hAnsi="gobCL"/>
        </w:rPr>
        <w:t>Servicios Industriales lo Rojas Ltda</w:t>
      </w:r>
      <w:r w:rsidR="00C64DCD">
        <w:rPr>
          <w:rFonts w:ascii="gobCL" w:hAnsi="gobCL"/>
        </w:rPr>
        <w:t>.</w:t>
      </w:r>
      <w:r w:rsidR="00DB48F0">
        <w:rPr>
          <w:rFonts w:ascii="gobCL" w:hAnsi="gobCL"/>
        </w:rPr>
        <w:t>,</w:t>
      </w:r>
      <w:r w:rsidR="00C64DCD" w:rsidRPr="00C64DCD">
        <w:rPr>
          <w:rFonts w:ascii="gobCL" w:hAnsi="gobCL"/>
        </w:rPr>
        <w:t xml:space="preserve"> </w:t>
      </w:r>
      <w:r>
        <w:rPr>
          <w:rFonts w:ascii="gobCL" w:hAnsi="gobCL"/>
        </w:rPr>
        <w:t>hacia Sindicato Pesquero del Norte SpA, anchoveta norte.</w:t>
      </w:r>
    </w:p>
    <w:p w14:paraId="25D0EA11" w14:textId="77777777" w:rsidR="005D29DF" w:rsidRDefault="005D29DF" w:rsidP="00660C7A">
      <w:pPr>
        <w:pStyle w:val="Textoindependiente"/>
        <w:rPr>
          <w:rFonts w:ascii="gobCL" w:hAnsi="gobCL"/>
        </w:rPr>
      </w:pPr>
    </w:p>
    <w:p w14:paraId="13D0AC5F" w14:textId="77777777" w:rsidR="005D29DF" w:rsidRDefault="005D29DF" w:rsidP="00660C7A">
      <w:pPr>
        <w:pStyle w:val="Textoindependiente"/>
        <w:rPr>
          <w:rFonts w:ascii="gobCL" w:hAnsi="gobCL"/>
        </w:rPr>
      </w:pPr>
    </w:p>
    <w:p w14:paraId="6F9C10CC" w14:textId="77777777" w:rsidR="005D29DF" w:rsidRDefault="005D29DF" w:rsidP="00660C7A">
      <w:pPr>
        <w:pStyle w:val="Textoindependiente"/>
        <w:rPr>
          <w:rFonts w:ascii="gobCL" w:hAnsi="gob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1191"/>
        <w:gridCol w:w="1644"/>
        <w:gridCol w:w="1587"/>
      </w:tblGrid>
      <w:tr w:rsidR="00692C86" w14:paraId="57BD0837" w14:textId="77777777" w:rsidTr="00A56D59">
        <w:trPr>
          <w:jc w:val="center"/>
        </w:trPr>
        <w:tc>
          <w:tcPr>
            <w:tcW w:w="2310" w:type="dxa"/>
            <w:vAlign w:val="center"/>
          </w:tcPr>
          <w:p w14:paraId="751D269E" w14:textId="77777777" w:rsidR="00692C86" w:rsidRPr="00DB48F0" w:rsidRDefault="00692C86" w:rsidP="00A56D59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Resolución compraventa</w:t>
            </w:r>
          </w:p>
        </w:tc>
        <w:tc>
          <w:tcPr>
            <w:tcW w:w="1191" w:type="dxa"/>
            <w:vAlign w:val="center"/>
          </w:tcPr>
          <w:p w14:paraId="7A5F6738" w14:textId="77777777" w:rsidR="00692C86" w:rsidRPr="00DB48F0" w:rsidRDefault="00692C86" w:rsidP="00A56D59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Lote</w:t>
            </w:r>
          </w:p>
        </w:tc>
        <w:tc>
          <w:tcPr>
            <w:tcW w:w="1644" w:type="dxa"/>
            <w:vAlign w:val="center"/>
          </w:tcPr>
          <w:p w14:paraId="3907B7DF" w14:textId="77777777" w:rsidR="00692C86" w:rsidRPr="00DB48F0" w:rsidRDefault="00692C86" w:rsidP="00A56D59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Coeficiente</w:t>
            </w:r>
          </w:p>
        </w:tc>
        <w:tc>
          <w:tcPr>
            <w:tcW w:w="1587" w:type="dxa"/>
            <w:vAlign w:val="center"/>
          </w:tcPr>
          <w:p w14:paraId="7825A878" w14:textId="77777777" w:rsidR="00692C86" w:rsidRPr="00DB48F0" w:rsidRDefault="00692C86" w:rsidP="00A56D59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Porcentaje</w:t>
            </w:r>
          </w:p>
        </w:tc>
      </w:tr>
      <w:tr w:rsidR="00692C86" w14:paraId="039D6E96" w14:textId="77777777" w:rsidTr="00A56D59">
        <w:trPr>
          <w:jc w:val="center"/>
        </w:trPr>
        <w:tc>
          <w:tcPr>
            <w:tcW w:w="2310" w:type="dxa"/>
            <w:vAlign w:val="center"/>
          </w:tcPr>
          <w:p w14:paraId="09F1134E" w14:textId="77777777" w:rsidR="00692C86" w:rsidRPr="00DB48F0" w:rsidRDefault="00692C86" w:rsidP="00A56D59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3495-2019</w:t>
            </w:r>
          </w:p>
        </w:tc>
        <w:tc>
          <w:tcPr>
            <w:tcW w:w="1191" w:type="dxa"/>
            <w:vAlign w:val="center"/>
          </w:tcPr>
          <w:p w14:paraId="007E4B57" w14:textId="77777777" w:rsidR="00692C86" w:rsidRPr="00DB48F0" w:rsidRDefault="00692C86" w:rsidP="00A56D59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29</w:t>
            </w:r>
          </w:p>
        </w:tc>
        <w:tc>
          <w:tcPr>
            <w:tcW w:w="1644" w:type="dxa"/>
            <w:vAlign w:val="center"/>
          </w:tcPr>
          <w:p w14:paraId="081CFE55" w14:textId="77777777" w:rsidR="00692C86" w:rsidRPr="00DB48F0" w:rsidRDefault="00692C86" w:rsidP="00A56D59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0,0015000</w:t>
            </w:r>
          </w:p>
        </w:tc>
        <w:tc>
          <w:tcPr>
            <w:tcW w:w="1587" w:type="dxa"/>
            <w:vAlign w:val="center"/>
          </w:tcPr>
          <w:p w14:paraId="5B55BF6C" w14:textId="6232AD3E" w:rsidR="00692C86" w:rsidRPr="00DB48F0" w:rsidRDefault="009E6BAC" w:rsidP="00A56D59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3,00%</w:t>
            </w:r>
          </w:p>
        </w:tc>
      </w:tr>
      <w:tr w:rsidR="009E6BAC" w14:paraId="161323A6" w14:textId="77777777" w:rsidTr="00226A84">
        <w:trPr>
          <w:jc w:val="center"/>
        </w:trPr>
        <w:tc>
          <w:tcPr>
            <w:tcW w:w="2310" w:type="dxa"/>
            <w:vAlign w:val="center"/>
          </w:tcPr>
          <w:p w14:paraId="49A83247" w14:textId="77777777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3494-2019</w:t>
            </w:r>
          </w:p>
        </w:tc>
        <w:tc>
          <w:tcPr>
            <w:tcW w:w="1191" w:type="dxa"/>
            <w:vAlign w:val="center"/>
          </w:tcPr>
          <w:p w14:paraId="549DBA10" w14:textId="77777777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28</w:t>
            </w:r>
          </w:p>
        </w:tc>
        <w:tc>
          <w:tcPr>
            <w:tcW w:w="1644" w:type="dxa"/>
            <w:vAlign w:val="center"/>
          </w:tcPr>
          <w:p w14:paraId="41F7E3B6" w14:textId="77777777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0,0015000</w:t>
            </w:r>
          </w:p>
        </w:tc>
        <w:tc>
          <w:tcPr>
            <w:tcW w:w="1587" w:type="dxa"/>
          </w:tcPr>
          <w:p w14:paraId="5DE7862C" w14:textId="196854D3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3,00%</w:t>
            </w:r>
          </w:p>
        </w:tc>
      </w:tr>
      <w:tr w:rsidR="009E6BAC" w14:paraId="7938B3B8" w14:textId="77777777" w:rsidTr="00226A84">
        <w:trPr>
          <w:jc w:val="center"/>
        </w:trPr>
        <w:tc>
          <w:tcPr>
            <w:tcW w:w="2310" w:type="dxa"/>
            <w:vAlign w:val="center"/>
          </w:tcPr>
          <w:p w14:paraId="774B4CBA" w14:textId="77777777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3493-2019</w:t>
            </w:r>
          </w:p>
        </w:tc>
        <w:tc>
          <w:tcPr>
            <w:tcW w:w="1191" w:type="dxa"/>
            <w:vAlign w:val="center"/>
          </w:tcPr>
          <w:p w14:paraId="1ECB68F8" w14:textId="77777777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27</w:t>
            </w:r>
          </w:p>
        </w:tc>
        <w:tc>
          <w:tcPr>
            <w:tcW w:w="1644" w:type="dxa"/>
            <w:vAlign w:val="center"/>
          </w:tcPr>
          <w:p w14:paraId="7C86AD0F" w14:textId="77777777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0,0015000</w:t>
            </w:r>
          </w:p>
        </w:tc>
        <w:tc>
          <w:tcPr>
            <w:tcW w:w="1587" w:type="dxa"/>
          </w:tcPr>
          <w:p w14:paraId="55AA16C7" w14:textId="528AF05A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3,00%</w:t>
            </w:r>
          </w:p>
        </w:tc>
      </w:tr>
      <w:tr w:rsidR="009E6BAC" w14:paraId="329882FD" w14:textId="77777777" w:rsidTr="00226A84">
        <w:trPr>
          <w:jc w:val="center"/>
        </w:trPr>
        <w:tc>
          <w:tcPr>
            <w:tcW w:w="2310" w:type="dxa"/>
            <w:vAlign w:val="center"/>
          </w:tcPr>
          <w:p w14:paraId="0F539B79" w14:textId="77777777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3492-2019</w:t>
            </w:r>
          </w:p>
        </w:tc>
        <w:tc>
          <w:tcPr>
            <w:tcW w:w="1191" w:type="dxa"/>
            <w:vAlign w:val="center"/>
          </w:tcPr>
          <w:p w14:paraId="15802DBA" w14:textId="77777777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26</w:t>
            </w:r>
          </w:p>
        </w:tc>
        <w:tc>
          <w:tcPr>
            <w:tcW w:w="1644" w:type="dxa"/>
            <w:vAlign w:val="center"/>
          </w:tcPr>
          <w:p w14:paraId="7166F7F5" w14:textId="77777777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0,0015000</w:t>
            </w:r>
          </w:p>
        </w:tc>
        <w:tc>
          <w:tcPr>
            <w:tcW w:w="1587" w:type="dxa"/>
          </w:tcPr>
          <w:p w14:paraId="16436579" w14:textId="37339466" w:rsidR="009E6BAC" w:rsidRPr="00DB48F0" w:rsidRDefault="009E6BAC" w:rsidP="009E6BAC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3,00%</w:t>
            </w:r>
          </w:p>
        </w:tc>
      </w:tr>
    </w:tbl>
    <w:p w14:paraId="5EF062D4" w14:textId="77777777" w:rsidR="00605257" w:rsidRDefault="00605257" w:rsidP="00660C7A">
      <w:pPr>
        <w:pStyle w:val="Textoindependiente"/>
        <w:rPr>
          <w:rFonts w:ascii="gobCL" w:hAnsi="gobCL"/>
        </w:rPr>
      </w:pPr>
    </w:p>
    <w:p w14:paraId="1FBF8992" w14:textId="0FB413E2" w:rsidR="00B80345" w:rsidRDefault="007F100F" w:rsidP="00660C7A">
      <w:pPr>
        <w:pStyle w:val="Textoindependiente"/>
        <w:rPr>
          <w:rFonts w:ascii="gobCL" w:hAnsi="gobCL"/>
        </w:rPr>
      </w:pPr>
      <w:r>
        <w:rPr>
          <w:rFonts w:ascii="gobCL" w:hAnsi="gobCL"/>
        </w:rPr>
        <w:t>Mediante Resolució</w:t>
      </w:r>
      <w:r w:rsidR="00DB48F0">
        <w:rPr>
          <w:rFonts w:ascii="gobCL" w:hAnsi="gobCL"/>
        </w:rPr>
        <w:t>n Exenta N° 1416 de 2024 se acoge renuncia de las resoluciones detalladas en tablas 1 y 2 de titular SINDICATO PESQUERO DEL NORTE SpA</w:t>
      </w:r>
      <w:r w:rsidR="007C1E96">
        <w:rPr>
          <w:rFonts w:ascii="gobCL" w:hAnsi="gobCL"/>
        </w:rPr>
        <w:t>.</w:t>
      </w:r>
    </w:p>
    <w:p w14:paraId="30BC7C1D" w14:textId="77777777" w:rsidR="007C1E96" w:rsidRDefault="007C1E96" w:rsidP="00660C7A">
      <w:pPr>
        <w:pStyle w:val="Textoindependiente"/>
        <w:rPr>
          <w:rFonts w:ascii="gobCL" w:hAnsi="gobCL"/>
        </w:rPr>
      </w:pPr>
    </w:p>
    <w:p w14:paraId="377FEEBA" w14:textId="1F59391A" w:rsidR="007C1E96" w:rsidRPr="00886E89" w:rsidRDefault="007C1E96" w:rsidP="007C1E96">
      <w:pPr>
        <w:pStyle w:val="Prrafodelista"/>
        <w:numPr>
          <w:ilvl w:val="0"/>
          <w:numId w:val="50"/>
        </w:numPr>
        <w:rPr>
          <w:rFonts w:ascii="gobCL" w:hAnsi="gobCL"/>
        </w:rPr>
      </w:pPr>
      <w:r>
        <w:rPr>
          <w:rFonts w:ascii="gobCL" w:hAnsi="gobCL"/>
          <w:b/>
          <w:sz w:val="20"/>
          <w:szCs w:val="20"/>
        </w:rPr>
        <w:t xml:space="preserve">Merluza común unidad de pesquería </w:t>
      </w:r>
      <w:r w:rsidR="006244D0" w:rsidRPr="006244D0">
        <w:rPr>
          <w:rFonts w:ascii="gobCL" w:hAnsi="gobCL"/>
          <w:b/>
          <w:sz w:val="20"/>
          <w:szCs w:val="20"/>
        </w:rPr>
        <w:t>Coquimbo al paralelo 41° 28,6’ L.S.</w:t>
      </w:r>
    </w:p>
    <w:p w14:paraId="5C1C69D7" w14:textId="77777777" w:rsidR="00F768F3" w:rsidRDefault="00F768F3" w:rsidP="00660C7A">
      <w:pPr>
        <w:pStyle w:val="Textoindependiente"/>
        <w:rPr>
          <w:rFonts w:ascii="gobCL" w:hAnsi="gobCL"/>
        </w:rPr>
      </w:pPr>
    </w:p>
    <w:p w14:paraId="72920B02" w14:textId="0481C5AA" w:rsidR="009A7A82" w:rsidRDefault="00552CA6" w:rsidP="00660C7A">
      <w:pPr>
        <w:pStyle w:val="Textoindependiente"/>
        <w:rPr>
          <w:rFonts w:ascii="gobCL" w:hAnsi="gobCL"/>
        </w:rPr>
      </w:pPr>
      <w:r>
        <w:rPr>
          <w:rFonts w:ascii="gobCL" w:hAnsi="gobCL"/>
        </w:rPr>
        <w:t xml:space="preserve">Por otro lado, en la Subasta pública de </w:t>
      </w:r>
      <w:r w:rsidR="003F3BFC">
        <w:rPr>
          <w:rFonts w:ascii="gobCL" w:hAnsi="gobCL"/>
        </w:rPr>
        <w:t xml:space="preserve">lotes renunciados de </w:t>
      </w:r>
      <w:r>
        <w:rPr>
          <w:rFonts w:ascii="gobCL" w:hAnsi="gobCL"/>
        </w:rPr>
        <w:t>Merluza común realizada en el año 2020,</w:t>
      </w:r>
      <w:r w:rsidR="009A7A82">
        <w:rPr>
          <w:rFonts w:ascii="gobCL" w:hAnsi="gobCL"/>
        </w:rPr>
        <w:t xml:space="preserve"> se le otorga al titular Marcelino González mediante Res. Ex</w:t>
      </w:r>
      <w:r w:rsidR="00AB595D">
        <w:rPr>
          <w:rFonts w:ascii="gobCL" w:hAnsi="gobCL"/>
        </w:rPr>
        <w:t>.</w:t>
      </w:r>
      <w:r w:rsidR="009A7A82">
        <w:rPr>
          <w:rFonts w:ascii="gobCL" w:hAnsi="gobCL"/>
        </w:rPr>
        <w:t xml:space="preserve"> N° 328/2021 lote 43</w:t>
      </w:r>
      <w:r w:rsidR="00FE7C37">
        <w:rPr>
          <w:rFonts w:ascii="gobCL" w:hAnsi="gobCL"/>
        </w:rPr>
        <w:t xml:space="preserve"> todo oferente</w:t>
      </w:r>
      <w:r w:rsidR="009A7A82">
        <w:rPr>
          <w:rFonts w:ascii="gobCL" w:hAnsi="gobCL"/>
        </w:rPr>
        <w:t xml:space="preserve"> de un 3% equivalente a un coeficiente de participación de 0,001500</w:t>
      </w:r>
      <w:r w:rsidR="00FE7C37">
        <w:rPr>
          <w:rFonts w:ascii="gobCL" w:hAnsi="gobCL"/>
        </w:rPr>
        <w:t xml:space="preserve"> </w:t>
      </w:r>
      <w:r w:rsidR="00326322">
        <w:rPr>
          <w:rFonts w:ascii="gobCL" w:hAnsi="gobCL"/>
        </w:rPr>
        <w:t>con vigencia desde año 2019 inclusive</w:t>
      </w:r>
      <w:r w:rsidR="00AB595D">
        <w:rPr>
          <w:rFonts w:ascii="gobCL" w:hAnsi="gobCL"/>
        </w:rPr>
        <w:t>, posteriormente a través de Res. Ex. N°</w:t>
      </w:r>
      <w:r w:rsidR="00686174">
        <w:rPr>
          <w:rFonts w:ascii="gobCL" w:hAnsi="gobCL"/>
        </w:rPr>
        <w:t xml:space="preserve"> 767/2022</w:t>
      </w:r>
      <w:r w:rsidR="00941D07">
        <w:rPr>
          <w:rFonts w:ascii="gobCL" w:hAnsi="gobCL"/>
        </w:rPr>
        <w:t xml:space="preserve"> Marcelino González celebró contrato de compraventa con PESQUERA MJF LIMITADA de la totalidad de la Licencia Transable de Pesca individualizada.</w:t>
      </w:r>
    </w:p>
    <w:p w14:paraId="616D79EE" w14:textId="77777777" w:rsidR="009A7A82" w:rsidRDefault="009A7A82" w:rsidP="00660C7A">
      <w:pPr>
        <w:pStyle w:val="Textoindependiente"/>
        <w:rPr>
          <w:rFonts w:ascii="gobCL" w:hAnsi="gobCL"/>
        </w:rPr>
      </w:pPr>
    </w:p>
    <w:p w14:paraId="4C423AF9" w14:textId="5EB6CCE1" w:rsidR="009A7A82" w:rsidRDefault="00F768F3" w:rsidP="00660C7A">
      <w:pPr>
        <w:pStyle w:val="Textoindependiente"/>
        <w:rPr>
          <w:rFonts w:ascii="gobCL" w:hAnsi="gobCL"/>
        </w:rPr>
      </w:pPr>
      <w:r>
        <w:rPr>
          <w:rFonts w:ascii="gobCL" w:hAnsi="gobCL"/>
        </w:rPr>
        <w:t xml:space="preserve">Mediante Res. Ex N° 1820 de 2024 </w:t>
      </w:r>
      <w:r w:rsidR="00B75A33">
        <w:rPr>
          <w:rFonts w:ascii="gobCL" w:hAnsi="gobCL"/>
        </w:rPr>
        <w:t>s</w:t>
      </w:r>
      <w:r>
        <w:rPr>
          <w:rFonts w:ascii="gobCL" w:hAnsi="gobCL"/>
        </w:rPr>
        <w:t>e declara caducidad por no pago de Res. Ex N°767/2022 de titular PESQUERA MJF LIMITADA.</w:t>
      </w:r>
    </w:p>
    <w:p w14:paraId="588866FD" w14:textId="77777777" w:rsidR="00326322" w:rsidRDefault="00326322" w:rsidP="00660C7A">
      <w:pPr>
        <w:pStyle w:val="Textoindependiente"/>
        <w:rPr>
          <w:rFonts w:ascii="gobCL" w:hAnsi="gobCL"/>
        </w:rPr>
      </w:pPr>
    </w:p>
    <w:p w14:paraId="58036CA0" w14:textId="0DA92B84" w:rsidR="00326322" w:rsidRPr="002B2A94" w:rsidRDefault="00FE7C37" w:rsidP="00660C7A">
      <w:pPr>
        <w:pStyle w:val="Textoindependiente"/>
        <w:rPr>
          <w:rFonts w:ascii="gobCL" w:hAnsi="gobCL"/>
          <w:i/>
          <w:iCs/>
        </w:rPr>
      </w:pPr>
      <w:r>
        <w:rPr>
          <w:rFonts w:ascii="gobCL" w:hAnsi="gobCL"/>
        </w:rPr>
        <w:t>De acuerdo con</w:t>
      </w:r>
      <w:r w:rsidR="00326322">
        <w:rPr>
          <w:rFonts w:ascii="gobCL" w:hAnsi="gobCL"/>
        </w:rPr>
        <w:t xml:space="preserve"> lo señalado </w:t>
      </w:r>
      <w:r>
        <w:rPr>
          <w:rFonts w:ascii="gobCL" w:hAnsi="gobCL"/>
        </w:rPr>
        <w:t xml:space="preserve">en el artículo </w:t>
      </w:r>
      <w:r w:rsidR="003F3BFC">
        <w:rPr>
          <w:rFonts w:ascii="gobCL" w:hAnsi="gobCL"/>
        </w:rPr>
        <w:t xml:space="preserve">37 de la Ley de Pesca que indica </w:t>
      </w:r>
      <w:r w:rsidR="002B2A94">
        <w:rPr>
          <w:rFonts w:ascii="gobCL" w:hAnsi="gobCL"/>
        </w:rPr>
        <w:t>que “</w:t>
      </w:r>
      <w:r w:rsidR="002B2A94">
        <w:rPr>
          <w:rFonts w:ascii="gobCL" w:hAnsi="gobCL"/>
          <w:i/>
          <w:iCs/>
        </w:rPr>
        <w:t>sin un permiso extraordinario o licencia transable de pesca terminare por renuncia de su titular o por efecto de la declaración de su caducidad, la Subsecretaría lo adjudicará mediante subasta por un período equivalente a lo que le restare de su vigencia”.</w:t>
      </w:r>
    </w:p>
    <w:p w14:paraId="55382F87" w14:textId="77777777" w:rsidR="00F768F3" w:rsidRDefault="00F768F3" w:rsidP="00660C7A">
      <w:pPr>
        <w:pStyle w:val="Textoindependiente"/>
        <w:rPr>
          <w:rFonts w:ascii="gobCL" w:hAnsi="gobCL"/>
        </w:rPr>
      </w:pPr>
    </w:p>
    <w:p w14:paraId="5581C92F" w14:textId="68DFDC9D" w:rsidR="00F768F3" w:rsidRPr="00B75A33" w:rsidRDefault="00B75A33" w:rsidP="00B75A33">
      <w:pPr>
        <w:pStyle w:val="Textoindependiente"/>
        <w:rPr>
          <w:rFonts w:ascii="gobCL" w:hAnsi="gobCL"/>
          <w:i/>
          <w:iCs/>
        </w:rPr>
      </w:pPr>
      <w:r>
        <w:rPr>
          <w:rFonts w:ascii="gobCL" w:hAnsi="gobCL"/>
        </w:rPr>
        <w:t>Que mediante D.S. N°103 de 2015, en el inciso 3° del artículo 15 se establece que “</w:t>
      </w:r>
      <w:proofErr w:type="gramStart"/>
      <w:r>
        <w:rPr>
          <w:rFonts w:ascii="gobCL" w:hAnsi="gobCL"/>
          <w:i/>
          <w:iCs/>
        </w:rPr>
        <w:t>en caso que</w:t>
      </w:r>
      <w:proofErr w:type="gramEnd"/>
      <w:r>
        <w:rPr>
          <w:rFonts w:ascii="gobCL" w:hAnsi="gobCL"/>
          <w:i/>
          <w:iCs/>
        </w:rPr>
        <w:t xml:space="preserve"> el adjudicatario no pague alguna de las anualidades a que se refiere el artículo 13 de este Reglamento, la Subsecretaría deberá certificar esta circunstancia y con este mérito dejar </w:t>
      </w:r>
      <w:r w:rsidR="006244D0">
        <w:rPr>
          <w:rFonts w:ascii="gobCL" w:hAnsi="gobCL"/>
          <w:i/>
          <w:iCs/>
        </w:rPr>
        <w:t>sin efecto la respectiva resolución y deberá proceder a subastar nuevamente el respectivo lote por el plazo que quede, por única vez …”.</w:t>
      </w:r>
    </w:p>
    <w:p w14:paraId="2430F943" w14:textId="52BB2E97" w:rsidR="00660C7A" w:rsidRPr="00A3229D" w:rsidRDefault="00660C7A" w:rsidP="00660C7A">
      <w:pPr>
        <w:jc w:val="center"/>
        <w:rPr>
          <w:rFonts w:ascii="gobCL" w:hAnsi="gobCL"/>
          <w:sz w:val="20"/>
        </w:rPr>
      </w:pPr>
    </w:p>
    <w:p w14:paraId="54CA76F0" w14:textId="584E6A0C" w:rsidR="00660C7A" w:rsidRPr="00A3229D" w:rsidRDefault="00660C7A" w:rsidP="00660C7A">
      <w:pPr>
        <w:jc w:val="both"/>
        <w:rPr>
          <w:rFonts w:ascii="gobCL" w:hAnsi="gobCL"/>
          <w:sz w:val="20"/>
        </w:rPr>
      </w:pPr>
      <w:r w:rsidRPr="00A3229D">
        <w:rPr>
          <w:rFonts w:ascii="gobCL" w:hAnsi="gobCL"/>
          <w:sz w:val="20"/>
        </w:rPr>
        <w:t>Con todo, queda</w:t>
      </w:r>
      <w:r w:rsidR="00EE0D2C">
        <w:rPr>
          <w:rFonts w:ascii="gobCL" w:hAnsi="gobCL"/>
          <w:sz w:val="20"/>
        </w:rPr>
        <w:t>n</w:t>
      </w:r>
      <w:r w:rsidRPr="00A3229D">
        <w:rPr>
          <w:rFonts w:ascii="gobCL" w:hAnsi="gobCL"/>
          <w:sz w:val="20"/>
        </w:rPr>
        <w:t xml:space="preserve"> excluido</w:t>
      </w:r>
      <w:r w:rsidR="00EE0D2C">
        <w:rPr>
          <w:rFonts w:ascii="gobCL" w:hAnsi="gobCL"/>
          <w:sz w:val="20"/>
        </w:rPr>
        <w:t>s</w:t>
      </w:r>
      <w:r w:rsidRPr="00A3229D">
        <w:rPr>
          <w:rFonts w:ascii="gobCL" w:hAnsi="gobCL"/>
          <w:sz w:val="20"/>
        </w:rPr>
        <w:t xml:space="preserve"> de participar en la subasta de reasignación</w:t>
      </w:r>
      <w:r w:rsidR="00DA66D9">
        <w:rPr>
          <w:rFonts w:ascii="gobCL" w:hAnsi="gobCL"/>
          <w:sz w:val="20"/>
        </w:rPr>
        <w:t xml:space="preserve"> de los lotes</w:t>
      </w:r>
      <w:r w:rsidRPr="00A3229D">
        <w:rPr>
          <w:rFonts w:ascii="gobCL" w:hAnsi="gobCL"/>
          <w:sz w:val="20"/>
        </w:rPr>
        <w:t xml:space="preserve">, </w:t>
      </w:r>
      <w:r w:rsidR="00EE0D2C">
        <w:rPr>
          <w:rFonts w:ascii="gobCL" w:hAnsi="gobCL"/>
          <w:sz w:val="20"/>
        </w:rPr>
        <w:t>los</w:t>
      </w:r>
      <w:r w:rsidR="00EE0D2C" w:rsidRPr="00A3229D">
        <w:rPr>
          <w:rFonts w:ascii="gobCL" w:hAnsi="gobCL"/>
          <w:sz w:val="20"/>
        </w:rPr>
        <w:t xml:space="preserve"> </w:t>
      </w:r>
      <w:r w:rsidRPr="00A3229D">
        <w:rPr>
          <w:rFonts w:ascii="gobCL" w:hAnsi="gobCL"/>
          <w:sz w:val="20"/>
        </w:rPr>
        <w:t>titular</w:t>
      </w:r>
      <w:r w:rsidR="00EE0D2C">
        <w:rPr>
          <w:rFonts w:ascii="gobCL" w:hAnsi="gobCL"/>
          <w:sz w:val="20"/>
        </w:rPr>
        <w:t>es</w:t>
      </w:r>
      <w:r w:rsidRPr="00A3229D">
        <w:rPr>
          <w:rFonts w:ascii="gobCL" w:hAnsi="gobCL"/>
          <w:sz w:val="20"/>
        </w:rPr>
        <w:t xml:space="preserve"> de</w:t>
      </w:r>
      <w:r w:rsidR="00EE0D2C">
        <w:rPr>
          <w:rFonts w:ascii="gobCL" w:hAnsi="gobCL"/>
          <w:sz w:val="20"/>
        </w:rPr>
        <w:t xml:space="preserve"> </w:t>
      </w:r>
      <w:r w:rsidRPr="00A3229D">
        <w:rPr>
          <w:rFonts w:ascii="gobCL" w:hAnsi="gobCL"/>
          <w:sz w:val="20"/>
        </w:rPr>
        <w:t>l</w:t>
      </w:r>
      <w:r w:rsidR="00EE0D2C">
        <w:rPr>
          <w:rFonts w:ascii="gobCL" w:hAnsi="gobCL"/>
          <w:sz w:val="20"/>
        </w:rPr>
        <w:t>os</w:t>
      </w:r>
      <w:r w:rsidRPr="00A3229D">
        <w:rPr>
          <w:rFonts w:ascii="gobCL" w:hAnsi="gobCL"/>
          <w:sz w:val="20"/>
        </w:rPr>
        <w:t xml:space="preserve"> permiso</w:t>
      </w:r>
      <w:r w:rsidR="00EE0D2C">
        <w:rPr>
          <w:rFonts w:ascii="gobCL" w:hAnsi="gobCL"/>
          <w:sz w:val="20"/>
        </w:rPr>
        <w:t>s</w:t>
      </w:r>
      <w:r w:rsidRPr="00A3229D">
        <w:rPr>
          <w:rFonts w:ascii="gobCL" w:hAnsi="gobCL"/>
          <w:sz w:val="20"/>
        </w:rPr>
        <w:t xml:space="preserve"> renunciado</w:t>
      </w:r>
      <w:r w:rsidR="00EE0D2C">
        <w:rPr>
          <w:rFonts w:ascii="gobCL" w:hAnsi="gobCL"/>
          <w:sz w:val="20"/>
        </w:rPr>
        <w:t>s</w:t>
      </w:r>
      <w:r w:rsidR="006244D0">
        <w:rPr>
          <w:rFonts w:ascii="gobCL" w:hAnsi="gobCL"/>
          <w:sz w:val="20"/>
        </w:rPr>
        <w:t xml:space="preserve"> y caducados.</w:t>
      </w:r>
    </w:p>
    <w:p w14:paraId="110DC40F" w14:textId="58273C21" w:rsidR="00660C7A" w:rsidRPr="00A3229D" w:rsidRDefault="00660C7A" w:rsidP="000F33E1">
      <w:pPr>
        <w:rPr>
          <w:rFonts w:ascii="gobCL" w:hAnsi="gobCL"/>
          <w:b/>
          <w:sz w:val="20"/>
          <w:szCs w:val="20"/>
        </w:rPr>
      </w:pPr>
    </w:p>
    <w:p w14:paraId="338FF256" w14:textId="1D421872" w:rsidR="000F33E1" w:rsidRPr="00A3229D" w:rsidRDefault="000F33E1" w:rsidP="000F33E1">
      <w:pPr>
        <w:rPr>
          <w:rFonts w:ascii="gobCL" w:hAnsi="gobCL"/>
          <w:b/>
          <w:sz w:val="20"/>
          <w:szCs w:val="20"/>
        </w:rPr>
      </w:pPr>
      <w:r w:rsidRPr="00A3229D">
        <w:rPr>
          <w:rFonts w:ascii="gobCL" w:hAnsi="gobCL"/>
          <w:b/>
          <w:sz w:val="20"/>
          <w:szCs w:val="20"/>
        </w:rPr>
        <w:t>2.3 A</w:t>
      </w:r>
      <w:r w:rsidR="00660C7A" w:rsidRPr="00A3229D">
        <w:rPr>
          <w:rFonts w:ascii="gobCL" w:hAnsi="gobCL"/>
          <w:b/>
          <w:sz w:val="20"/>
          <w:szCs w:val="20"/>
        </w:rPr>
        <w:t>s</w:t>
      </w:r>
      <w:r w:rsidRPr="00A3229D">
        <w:rPr>
          <w:rFonts w:ascii="gobCL" w:hAnsi="gobCL"/>
          <w:b/>
          <w:sz w:val="20"/>
          <w:szCs w:val="20"/>
        </w:rPr>
        <w:t xml:space="preserve">pectos técnicos legales importantes </w:t>
      </w:r>
    </w:p>
    <w:p w14:paraId="57787B5C" w14:textId="77777777" w:rsidR="000F33E1" w:rsidRPr="00A3229D" w:rsidRDefault="000F33E1" w:rsidP="000F33E1">
      <w:pPr>
        <w:rPr>
          <w:rFonts w:ascii="gobCL" w:hAnsi="gobCL"/>
          <w:b/>
          <w:sz w:val="20"/>
          <w:szCs w:val="20"/>
        </w:rPr>
      </w:pPr>
    </w:p>
    <w:p w14:paraId="5A60AE35" w14:textId="77777777" w:rsidR="006244D0" w:rsidRDefault="00412223" w:rsidP="00314902">
      <w:pPr>
        <w:pStyle w:val="Textoindependiente"/>
        <w:rPr>
          <w:rFonts w:ascii="gobCL" w:hAnsi="gobCL"/>
        </w:rPr>
      </w:pPr>
      <w:r w:rsidRPr="00A3229D">
        <w:rPr>
          <w:rFonts w:ascii="gobCL" w:hAnsi="gobCL"/>
        </w:rPr>
        <w:t>De acuerdo con</w:t>
      </w:r>
      <w:r w:rsidR="0010473A" w:rsidRPr="00A3229D">
        <w:rPr>
          <w:rFonts w:ascii="gobCL" w:hAnsi="gobCL"/>
        </w:rPr>
        <w:t xml:space="preserve"> </w:t>
      </w:r>
      <w:r w:rsidR="00DA4869" w:rsidRPr="00A3229D">
        <w:rPr>
          <w:rFonts w:ascii="gobCL" w:hAnsi="gobCL"/>
        </w:rPr>
        <w:t>l</w:t>
      </w:r>
      <w:r w:rsidR="0010473A" w:rsidRPr="00A3229D">
        <w:rPr>
          <w:rFonts w:ascii="gobCL" w:hAnsi="gobCL"/>
        </w:rPr>
        <w:t xml:space="preserve">os procedimientos legales establecidos </w:t>
      </w:r>
      <w:r w:rsidR="00A65359" w:rsidRPr="00A3229D">
        <w:rPr>
          <w:rFonts w:ascii="gobCL" w:hAnsi="gobCL"/>
        </w:rPr>
        <w:t>para</w:t>
      </w:r>
      <w:r w:rsidR="0010473A" w:rsidRPr="00A3229D">
        <w:rPr>
          <w:rFonts w:ascii="gobCL" w:hAnsi="gobCL"/>
        </w:rPr>
        <w:t xml:space="preserve"> las</w:t>
      </w:r>
      <w:r w:rsidR="004E7377" w:rsidRPr="00A3229D">
        <w:rPr>
          <w:rFonts w:ascii="gobCL" w:hAnsi="gobCL"/>
        </w:rPr>
        <w:t xml:space="preserve"> </w:t>
      </w:r>
      <w:r w:rsidR="00DA4869" w:rsidRPr="00A3229D">
        <w:rPr>
          <w:rFonts w:ascii="gobCL" w:hAnsi="gobCL"/>
        </w:rPr>
        <w:t>subasta</w:t>
      </w:r>
      <w:r w:rsidR="0010473A" w:rsidRPr="00A3229D">
        <w:rPr>
          <w:rFonts w:ascii="gobCL" w:hAnsi="gobCL"/>
        </w:rPr>
        <w:t>s</w:t>
      </w:r>
      <w:r w:rsidR="00DA4869" w:rsidRPr="00A3229D">
        <w:rPr>
          <w:rFonts w:ascii="gobCL" w:hAnsi="gobCL"/>
        </w:rPr>
        <w:t xml:space="preserve"> </w:t>
      </w:r>
      <w:r w:rsidR="0010473A" w:rsidRPr="00A3229D">
        <w:rPr>
          <w:rFonts w:ascii="gobCL" w:hAnsi="gobCL"/>
        </w:rPr>
        <w:t xml:space="preserve">de LTP </w:t>
      </w:r>
      <w:r w:rsidR="00E62B9D" w:rsidRPr="00A3229D">
        <w:rPr>
          <w:rFonts w:ascii="gobCL" w:hAnsi="gobCL"/>
        </w:rPr>
        <w:t xml:space="preserve">clase </w:t>
      </w:r>
      <w:r w:rsidR="0010473A" w:rsidRPr="00A3229D">
        <w:rPr>
          <w:rFonts w:ascii="gobCL" w:hAnsi="gobCL"/>
        </w:rPr>
        <w:t>B,</w:t>
      </w:r>
      <w:r w:rsidR="00DA4869" w:rsidRPr="00A3229D">
        <w:rPr>
          <w:rFonts w:ascii="gobCL" w:hAnsi="gobCL"/>
        </w:rPr>
        <w:t xml:space="preserve"> </w:t>
      </w:r>
      <w:r w:rsidR="0010473A" w:rsidRPr="00A3229D">
        <w:rPr>
          <w:rFonts w:ascii="gobCL" w:hAnsi="gobCL" w:cs="gobCL"/>
        </w:rPr>
        <w:t>ningún oferente podrá adjudicarse más del 40% de la cuota a subastar del recurso, ya sea directamente o a través de terceras personas naturales o jurídicas con las que se relacione</w:t>
      </w:r>
      <w:r w:rsidR="00707E67" w:rsidRPr="00A3229D">
        <w:rPr>
          <w:rFonts w:ascii="gobCL" w:hAnsi="gobCL"/>
          <w:i/>
        </w:rPr>
        <w:t>.</w:t>
      </w:r>
      <w:r w:rsidR="00707E67" w:rsidRPr="00A3229D">
        <w:rPr>
          <w:rFonts w:ascii="gobCL" w:hAnsi="gobCL"/>
        </w:rPr>
        <w:t xml:space="preserve"> </w:t>
      </w:r>
    </w:p>
    <w:p w14:paraId="6DAC100D" w14:textId="77777777" w:rsidR="006244D0" w:rsidRDefault="006244D0" w:rsidP="00314902">
      <w:pPr>
        <w:pStyle w:val="Textoindependiente"/>
        <w:rPr>
          <w:rFonts w:ascii="gobCL" w:hAnsi="gobCL"/>
        </w:rPr>
      </w:pPr>
    </w:p>
    <w:p w14:paraId="32DC27D6" w14:textId="58CAE178" w:rsidR="006244D0" w:rsidRDefault="00F71409" w:rsidP="00314902">
      <w:pPr>
        <w:pStyle w:val="Textoindependiente"/>
        <w:rPr>
          <w:rFonts w:ascii="gobCL" w:hAnsi="gobCL"/>
        </w:rPr>
      </w:pPr>
      <w:r>
        <w:rPr>
          <w:rFonts w:ascii="gobCL" w:hAnsi="gobCL"/>
        </w:rPr>
        <w:t>Conforme a la licitación de anchoveta norte de diciembre 2018 que dio origen a las LTP B, Arica Seafoods Producer S.A. está limitada a adjudicarse un máximo de 37% y Compañía Pesquera Camanchaca S.A. 16%.</w:t>
      </w:r>
    </w:p>
    <w:p w14:paraId="696D25F0" w14:textId="77777777" w:rsidR="00F71409" w:rsidRDefault="00F71409" w:rsidP="00314902">
      <w:pPr>
        <w:pStyle w:val="Textoindependiente"/>
        <w:rPr>
          <w:rFonts w:ascii="gobCL" w:hAnsi="gobCL"/>
        </w:rPr>
      </w:pPr>
    </w:p>
    <w:p w14:paraId="369E157C" w14:textId="36B0A0FE" w:rsidR="00F71409" w:rsidRDefault="00F71409" w:rsidP="00314902">
      <w:pPr>
        <w:pStyle w:val="Textoindependiente"/>
        <w:rPr>
          <w:rFonts w:ascii="gobCL" w:hAnsi="gobCL"/>
        </w:rPr>
      </w:pPr>
      <w:r w:rsidRPr="0068520D">
        <w:rPr>
          <w:rFonts w:ascii="gobCL" w:hAnsi="gobCL"/>
        </w:rPr>
        <w:t xml:space="preserve">En el caso de merluza </w:t>
      </w:r>
      <w:r w:rsidR="0068520D" w:rsidRPr="0068520D">
        <w:rPr>
          <w:rFonts w:ascii="gobCL" w:hAnsi="gobCL"/>
        </w:rPr>
        <w:t>común,</w:t>
      </w:r>
      <w:r w:rsidR="0068520D">
        <w:rPr>
          <w:rFonts w:ascii="gobCL" w:hAnsi="gobCL"/>
        </w:rPr>
        <w:t xml:space="preserve"> de acuerdo con la subasta realizada en diciembre 2018 y subasta de lotes renunciados en diciembre 2020, Simón </w:t>
      </w:r>
      <w:proofErr w:type="spellStart"/>
      <w:r w:rsidR="0068520D">
        <w:rPr>
          <w:rFonts w:ascii="gobCL" w:hAnsi="gobCL"/>
        </w:rPr>
        <w:t>Seafood</w:t>
      </w:r>
      <w:proofErr w:type="spellEnd"/>
      <w:r w:rsidR="0068520D">
        <w:rPr>
          <w:rFonts w:ascii="gobCL" w:hAnsi="gobCL"/>
        </w:rPr>
        <w:t xml:space="preserve"> Ltda., está limitada a adjudicarse un máximo de 30%; Sociedad </w:t>
      </w:r>
      <w:r w:rsidR="0068520D">
        <w:rPr>
          <w:rFonts w:ascii="gobCL" w:hAnsi="gobCL"/>
        </w:rPr>
        <w:lastRenderedPageBreak/>
        <w:t xml:space="preserve">Pesquera </w:t>
      </w:r>
      <w:proofErr w:type="spellStart"/>
      <w:r w:rsidR="0068520D">
        <w:rPr>
          <w:rFonts w:ascii="gobCL" w:hAnsi="gobCL"/>
        </w:rPr>
        <w:t>Leucotón</w:t>
      </w:r>
      <w:proofErr w:type="spellEnd"/>
      <w:r w:rsidR="0068520D">
        <w:rPr>
          <w:rFonts w:ascii="gobCL" w:hAnsi="gobCL"/>
        </w:rPr>
        <w:t xml:space="preserve"> </w:t>
      </w:r>
      <w:proofErr w:type="spellStart"/>
      <w:r w:rsidR="0068520D">
        <w:rPr>
          <w:rFonts w:ascii="gobCL" w:hAnsi="gobCL"/>
        </w:rPr>
        <w:t>Ldta</w:t>
      </w:r>
      <w:proofErr w:type="spellEnd"/>
      <w:r w:rsidR="0068520D">
        <w:rPr>
          <w:rFonts w:ascii="gobCL" w:hAnsi="gobCL"/>
        </w:rPr>
        <w:t xml:space="preserve">., 29%; </w:t>
      </w:r>
      <w:proofErr w:type="spellStart"/>
      <w:r w:rsidR="0068520D">
        <w:rPr>
          <w:rFonts w:ascii="gobCL" w:hAnsi="gobCL"/>
        </w:rPr>
        <w:t>Bracpes</w:t>
      </w:r>
      <w:r w:rsidR="00DE6573">
        <w:rPr>
          <w:rFonts w:ascii="gobCL" w:hAnsi="gobCL"/>
        </w:rPr>
        <w:t>c</w:t>
      </w:r>
      <w:r w:rsidR="0068520D">
        <w:rPr>
          <w:rFonts w:ascii="gobCL" w:hAnsi="gobCL"/>
        </w:rPr>
        <w:t>a</w:t>
      </w:r>
      <w:proofErr w:type="spellEnd"/>
      <w:r w:rsidR="0068520D">
        <w:rPr>
          <w:rFonts w:ascii="gobCL" w:hAnsi="gobCL"/>
        </w:rPr>
        <w:t xml:space="preserve"> 10%; Pesquera Antonio Cruz Cór</w:t>
      </w:r>
      <w:r w:rsidR="00DE6573">
        <w:rPr>
          <w:rFonts w:ascii="gobCL" w:hAnsi="gobCL"/>
        </w:rPr>
        <w:t>d</w:t>
      </w:r>
      <w:r w:rsidR="0068520D">
        <w:rPr>
          <w:rFonts w:ascii="gobCL" w:hAnsi="gobCL"/>
        </w:rPr>
        <w:t xml:space="preserve">ova </w:t>
      </w:r>
      <w:proofErr w:type="spellStart"/>
      <w:r w:rsidR="0068520D">
        <w:rPr>
          <w:rFonts w:ascii="gobCL" w:hAnsi="gobCL"/>
        </w:rPr>
        <w:t>Nakouzi</w:t>
      </w:r>
      <w:proofErr w:type="spellEnd"/>
      <w:r w:rsidR="0068520D">
        <w:rPr>
          <w:rFonts w:ascii="gobCL" w:hAnsi="gobCL"/>
        </w:rPr>
        <w:t xml:space="preserve"> E.I.R.L. 30%; Sociedad Pesquera </w:t>
      </w:r>
      <w:proofErr w:type="spellStart"/>
      <w:r w:rsidR="0068520D">
        <w:rPr>
          <w:rFonts w:ascii="gobCL" w:hAnsi="gobCL"/>
        </w:rPr>
        <w:t>Enfe</w:t>
      </w:r>
      <w:r w:rsidR="004E0114">
        <w:rPr>
          <w:rFonts w:ascii="gobCL" w:hAnsi="gobCL"/>
        </w:rPr>
        <w:t>m</w:t>
      </w:r>
      <w:r w:rsidR="0068520D">
        <w:rPr>
          <w:rFonts w:ascii="gobCL" w:hAnsi="gobCL"/>
        </w:rPr>
        <w:t>ar</w:t>
      </w:r>
      <w:proofErr w:type="spellEnd"/>
      <w:r w:rsidR="0068520D">
        <w:rPr>
          <w:rFonts w:ascii="gobCL" w:hAnsi="gobCL"/>
        </w:rPr>
        <w:t xml:space="preserve"> </w:t>
      </w:r>
      <w:proofErr w:type="spellStart"/>
      <w:r w:rsidR="0068520D">
        <w:rPr>
          <w:rFonts w:ascii="gobCL" w:hAnsi="gobCL"/>
        </w:rPr>
        <w:t>Ldta</w:t>
      </w:r>
      <w:proofErr w:type="spellEnd"/>
      <w:r w:rsidR="0068520D">
        <w:rPr>
          <w:rFonts w:ascii="gobCL" w:hAnsi="gobCL"/>
        </w:rPr>
        <w:t xml:space="preserve">., 30%; </w:t>
      </w:r>
      <w:proofErr w:type="spellStart"/>
      <w:r w:rsidR="0068520D">
        <w:rPr>
          <w:rFonts w:ascii="gobCL" w:hAnsi="gobCL"/>
        </w:rPr>
        <w:t>Antarctic</w:t>
      </w:r>
      <w:proofErr w:type="spellEnd"/>
      <w:r w:rsidR="0068520D">
        <w:rPr>
          <w:rFonts w:ascii="gobCL" w:hAnsi="gobCL"/>
        </w:rPr>
        <w:t xml:space="preserve"> </w:t>
      </w:r>
      <w:proofErr w:type="spellStart"/>
      <w:r w:rsidR="0068520D">
        <w:rPr>
          <w:rFonts w:ascii="gobCL" w:hAnsi="gobCL"/>
        </w:rPr>
        <w:t>Seafood</w:t>
      </w:r>
      <w:proofErr w:type="spellEnd"/>
      <w:r w:rsidR="0068520D">
        <w:rPr>
          <w:rFonts w:ascii="gobCL" w:hAnsi="gobCL"/>
        </w:rPr>
        <w:t xml:space="preserve"> S.A., 23%; Pesquera Quintero S.A., 30% y Rubio y Mauad Ltda., 17%.</w:t>
      </w:r>
    </w:p>
    <w:p w14:paraId="34B4728B" w14:textId="77777777" w:rsidR="006244D0" w:rsidRDefault="006244D0" w:rsidP="00314902">
      <w:pPr>
        <w:pStyle w:val="Textoindependiente"/>
        <w:rPr>
          <w:rFonts w:ascii="gobCL" w:hAnsi="gobCL"/>
        </w:rPr>
      </w:pPr>
    </w:p>
    <w:p w14:paraId="16E18B5F" w14:textId="77777777" w:rsidR="004E0114" w:rsidRPr="00A3229D" w:rsidRDefault="004E0114" w:rsidP="00314902">
      <w:pPr>
        <w:pStyle w:val="Textoindependiente"/>
        <w:rPr>
          <w:rFonts w:ascii="gobCL" w:hAnsi="gobCL"/>
        </w:rPr>
      </w:pPr>
    </w:p>
    <w:p w14:paraId="12DDF035" w14:textId="103AC180" w:rsidR="00394482" w:rsidRPr="00A3229D" w:rsidRDefault="00394482" w:rsidP="00F63DA1">
      <w:pPr>
        <w:pStyle w:val="Textoindependiente"/>
        <w:numPr>
          <w:ilvl w:val="0"/>
          <w:numId w:val="46"/>
        </w:numPr>
        <w:rPr>
          <w:rFonts w:ascii="gobCL" w:hAnsi="gobCL"/>
          <w:b/>
          <w:bCs/>
          <w:sz w:val="24"/>
        </w:rPr>
      </w:pPr>
      <w:r w:rsidRPr="00A3229D">
        <w:rPr>
          <w:rFonts w:ascii="gobCL" w:hAnsi="gobCL"/>
          <w:b/>
          <w:bCs/>
          <w:sz w:val="24"/>
        </w:rPr>
        <w:t xml:space="preserve">Elementos a considerar en Bases Administrativas de subasta </w:t>
      </w:r>
      <w:r w:rsidR="00D83BE8">
        <w:rPr>
          <w:rFonts w:ascii="gobCL" w:hAnsi="gobCL"/>
          <w:b/>
          <w:bCs/>
          <w:sz w:val="24"/>
        </w:rPr>
        <w:t xml:space="preserve">de reasignación de </w:t>
      </w:r>
      <w:r w:rsidRPr="00A3229D">
        <w:rPr>
          <w:rFonts w:ascii="gobCL" w:hAnsi="gobCL"/>
          <w:b/>
          <w:bCs/>
          <w:sz w:val="24"/>
        </w:rPr>
        <w:t>LTP clase B</w:t>
      </w:r>
    </w:p>
    <w:p w14:paraId="7EACF31C" w14:textId="6894B711" w:rsidR="00394482" w:rsidRPr="00A3229D" w:rsidRDefault="00394482" w:rsidP="00394482">
      <w:pPr>
        <w:pStyle w:val="Textoindependiente"/>
        <w:rPr>
          <w:rFonts w:ascii="gobCL" w:hAnsi="gobCL"/>
          <w:b/>
          <w:bCs/>
          <w:sz w:val="24"/>
        </w:rPr>
      </w:pPr>
    </w:p>
    <w:p w14:paraId="5BDABE9E" w14:textId="6C6D4A21" w:rsidR="00394482" w:rsidRPr="00A3229D" w:rsidRDefault="00F63DA1" w:rsidP="001A46A0">
      <w:pPr>
        <w:pStyle w:val="Textoindependiente"/>
        <w:rPr>
          <w:rFonts w:ascii="gobCL" w:hAnsi="gobCL"/>
          <w:b/>
          <w:bCs/>
          <w:sz w:val="24"/>
        </w:rPr>
      </w:pPr>
      <w:r w:rsidRPr="00A3229D">
        <w:rPr>
          <w:rFonts w:ascii="gobCL" w:hAnsi="gobCL"/>
          <w:b/>
          <w:bCs/>
          <w:sz w:val="24"/>
        </w:rPr>
        <w:t xml:space="preserve">3.1 </w:t>
      </w:r>
      <w:r w:rsidR="00394482" w:rsidRPr="00A3229D">
        <w:rPr>
          <w:rFonts w:ascii="gobCL" w:hAnsi="gobCL"/>
          <w:b/>
          <w:bCs/>
          <w:sz w:val="24"/>
        </w:rPr>
        <w:t>Tipo de subasta</w:t>
      </w:r>
    </w:p>
    <w:p w14:paraId="4715F908" w14:textId="77777777" w:rsidR="00394482" w:rsidRPr="00A3229D" w:rsidRDefault="00394482" w:rsidP="00394482">
      <w:pPr>
        <w:pStyle w:val="Textoindependiente"/>
        <w:rPr>
          <w:rFonts w:ascii="gobCL" w:hAnsi="gobCL"/>
          <w:bCs/>
        </w:rPr>
      </w:pPr>
      <w:r w:rsidRPr="00A3229D">
        <w:rPr>
          <w:rFonts w:ascii="gobCL" w:hAnsi="gobCL"/>
          <w:bCs/>
        </w:rPr>
        <w:t xml:space="preserve">La subasta del lote se realizará </w:t>
      </w:r>
      <w:r w:rsidRPr="00A3229D">
        <w:rPr>
          <w:rFonts w:ascii="gobCL" w:hAnsi="gobCL"/>
          <w:b/>
        </w:rPr>
        <w:t>A SOBRE CERRADO</w:t>
      </w:r>
      <w:r w:rsidRPr="00A3229D">
        <w:rPr>
          <w:rFonts w:ascii="gobCL" w:hAnsi="gobCL"/>
          <w:bCs/>
        </w:rPr>
        <w:t xml:space="preserve">, es decir, los interesados realizarán sus ofertas a la Subsecretaría de Pesca y Acuicultura, en sobre cerrado </w:t>
      </w:r>
      <w:proofErr w:type="gramStart"/>
      <w:r w:rsidRPr="00A3229D">
        <w:rPr>
          <w:rFonts w:ascii="gobCL" w:hAnsi="gobCL"/>
          <w:bCs/>
        </w:rPr>
        <w:t>de acuerdo a</w:t>
      </w:r>
      <w:proofErr w:type="gramEnd"/>
      <w:r w:rsidRPr="00A3229D">
        <w:rPr>
          <w:rFonts w:ascii="gobCL" w:hAnsi="gobCL"/>
          <w:bCs/>
        </w:rPr>
        <w:t xml:space="preserve"> los requisitos y condiciones establecidas en las bases de licitación. Los participantes deberán presentar 3 sobres, denominados de la siguiente manera: </w:t>
      </w:r>
    </w:p>
    <w:p w14:paraId="30FF8D6F" w14:textId="77777777" w:rsidR="00394482" w:rsidRPr="00A3229D" w:rsidRDefault="00394482" w:rsidP="00394482">
      <w:pPr>
        <w:pStyle w:val="Textoindependiente"/>
        <w:rPr>
          <w:rFonts w:ascii="gobCL" w:hAnsi="gobCL"/>
          <w:bCs/>
        </w:rPr>
      </w:pPr>
    </w:p>
    <w:p w14:paraId="56E1B9E2" w14:textId="42A376DE" w:rsidR="00394482" w:rsidRPr="00A3229D" w:rsidRDefault="00394482" w:rsidP="00394482">
      <w:pPr>
        <w:pStyle w:val="Textoindependiente"/>
        <w:numPr>
          <w:ilvl w:val="0"/>
          <w:numId w:val="41"/>
        </w:numPr>
        <w:rPr>
          <w:rFonts w:ascii="gobCL" w:hAnsi="gobCL"/>
          <w:bCs/>
        </w:rPr>
      </w:pPr>
      <w:r w:rsidRPr="00A3229D">
        <w:rPr>
          <w:rFonts w:ascii="gobCL" w:hAnsi="gobCL"/>
          <w:bCs/>
        </w:rPr>
        <w:t xml:space="preserve">“Sobre </w:t>
      </w:r>
      <w:proofErr w:type="spellStart"/>
      <w:r w:rsidRPr="00A3229D">
        <w:rPr>
          <w:rFonts w:ascii="gobCL" w:hAnsi="gobCL"/>
          <w:bCs/>
        </w:rPr>
        <w:t>N°</w:t>
      </w:r>
      <w:proofErr w:type="spellEnd"/>
      <w:r w:rsidRPr="00A3229D">
        <w:rPr>
          <w:rFonts w:ascii="gobCL" w:hAnsi="gobCL"/>
          <w:bCs/>
        </w:rPr>
        <w:t xml:space="preserve"> 1 Antecedentes administrativos”, en donde además de contener todos los antecedentes señalados en el D.S. </w:t>
      </w:r>
      <w:proofErr w:type="spellStart"/>
      <w:r w:rsidRPr="00A3229D">
        <w:rPr>
          <w:rFonts w:ascii="gobCL" w:hAnsi="gobCL"/>
          <w:bCs/>
        </w:rPr>
        <w:t>Nº</w:t>
      </w:r>
      <w:proofErr w:type="spellEnd"/>
      <w:r w:rsidRPr="00A3229D">
        <w:rPr>
          <w:rFonts w:ascii="gobCL" w:hAnsi="gobCL"/>
          <w:bCs/>
        </w:rPr>
        <w:t xml:space="preserve"> 97 de 1996; modificado a través del D.S </w:t>
      </w:r>
      <w:proofErr w:type="spellStart"/>
      <w:r w:rsidRPr="00A3229D">
        <w:rPr>
          <w:rFonts w:ascii="gobCL" w:hAnsi="gobCL"/>
          <w:bCs/>
        </w:rPr>
        <w:t>Nº</w:t>
      </w:r>
      <w:proofErr w:type="spellEnd"/>
      <w:r w:rsidRPr="00A3229D">
        <w:rPr>
          <w:rFonts w:ascii="gobCL" w:hAnsi="gobCL"/>
          <w:bCs/>
        </w:rPr>
        <w:t xml:space="preserve"> 117 del 2015, en su artículo 4°, deberán acompañarse el o los documentos de garantía de seriedad de la oferta.</w:t>
      </w:r>
    </w:p>
    <w:p w14:paraId="1413EF14" w14:textId="77777777" w:rsidR="00CE1362" w:rsidRPr="00A3229D" w:rsidRDefault="00CE1362" w:rsidP="00CE1362">
      <w:pPr>
        <w:pStyle w:val="Textoindependiente"/>
        <w:ind w:left="720"/>
        <w:rPr>
          <w:rFonts w:ascii="gobCL" w:hAnsi="gobCL"/>
          <w:bCs/>
        </w:rPr>
      </w:pPr>
    </w:p>
    <w:p w14:paraId="4F75DBF6" w14:textId="5BC7903B" w:rsidR="00394482" w:rsidRPr="00A3229D" w:rsidRDefault="00394482" w:rsidP="00394482">
      <w:pPr>
        <w:pStyle w:val="Textoindependiente"/>
        <w:numPr>
          <w:ilvl w:val="0"/>
          <w:numId w:val="39"/>
        </w:numPr>
        <w:rPr>
          <w:rFonts w:ascii="gobCL" w:hAnsi="gobCL"/>
          <w:bCs/>
        </w:rPr>
      </w:pPr>
      <w:r w:rsidRPr="00A3229D">
        <w:rPr>
          <w:rFonts w:ascii="gobCL" w:hAnsi="gobCL"/>
          <w:bCs/>
        </w:rPr>
        <w:t xml:space="preserve">“Sobre N° 2 Propuesta Económica”, dicho sobre deberá contener en su interior una serie de documentos, cada uno de ellos debe identificar el lote por el cual se está ofertando y el monto por el cual se oferta, todo lo anterior, expresado en Unidades Tributarias Mensuales a la fecha de la presentación.  Las ofertas económicas por </w:t>
      </w:r>
      <w:proofErr w:type="gramStart"/>
      <w:r w:rsidRPr="00A3229D">
        <w:rPr>
          <w:rFonts w:ascii="gobCL" w:hAnsi="gobCL"/>
          <w:bCs/>
        </w:rPr>
        <w:t>lote,</w:t>
      </w:r>
      <w:proofErr w:type="gramEnd"/>
      <w:r w:rsidRPr="00A3229D">
        <w:rPr>
          <w:rFonts w:ascii="gobCL" w:hAnsi="gobCL"/>
          <w:bCs/>
        </w:rPr>
        <w:t xml:space="preserve"> deben ser mayor o igual que el precio mínimo estimado del recurso.</w:t>
      </w:r>
    </w:p>
    <w:p w14:paraId="11F50998" w14:textId="77777777" w:rsidR="00CE1362" w:rsidRPr="00A3229D" w:rsidRDefault="00CE1362" w:rsidP="00CE1362">
      <w:pPr>
        <w:pStyle w:val="Textoindependiente"/>
        <w:ind w:left="720"/>
        <w:rPr>
          <w:rFonts w:ascii="gobCL" w:hAnsi="gobCL"/>
          <w:bCs/>
        </w:rPr>
      </w:pPr>
    </w:p>
    <w:p w14:paraId="2A521C3C" w14:textId="08E31397" w:rsidR="00394482" w:rsidRPr="00A3229D" w:rsidRDefault="00394482" w:rsidP="00394482">
      <w:pPr>
        <w:pStyle w:val="Textoindependiente"/>
        <w:numPr>
          <w:ilvl w:val="0"/>
          <w:numId w:val="41"/>
        </w:numPr>
        <w:rPr>
          <w:rFonts w:ascii="gobCL" w:hAnsi="gobCL"/>
        </w:rPr>
      </w:pPr>
      <w:proofErr w:type="gramStart"/>
      <w:r w:rsidRPr="00A3229D">
        <w:rPr>
          <w:rFonts w:ascii="gobCL" w:hAnsi="gobCL"/>
          <w:bCs/>
        </w:rPr>
        <w:t>”Sobre</w:t>
      </w:r>
      <w:proofErr w:type="gramEnd"/>
      <w:r w:rsidR="00F63DA1" w:rsidRPr="00A3229D">
        <w:rPr>
          <w:rFonts w:ascii="gobCL" w:hAnsi="gobCL"/>
          <w:bCs/>
        </w:rPr>
        <w:t xml:space="preserve"> </w:t>
      </w:r>
      <w:r w:rsidRPr="00A3229D">
        <w:rPr>
          <w:rFonts w:ascii="gobCL" w:hAnsi="gobCL"/>
          <w:bCs/>
        </w:rPr>
        <w:t>N° 3 Desempate”, el cual tiene por objeto dirimir posibles desempates entre dos o más oferentes. Este sobre deberá contener tantos sobres de desempate como lotes se desee</w:t>
      </w:r>
      <w:r w:rsidR="00E91F72">
        <w:rPr>
          <w:rFonts w:ascii="gobCL" w:hAnsi="gobCL"/>
          <w:bCs/>
        </w:rPr>
        <w:t xml:space="preserve"> y disponer de la misma información proporcionadas en los sobres 2</w:t>
      </w:r>
      <w:r w:rsidRPr="00A3229D">
        <w:rPr>
          <w:rFonts w:ascii="gobCL" w:hAnsi="gobCL"/>
          <w:bCs/>
        </w:rPr>
        <w:t>.</w:t>
      </w:r>
    </w:p>
    <w:p w14:paraId="3EDB61BE" w14:textId="77777777" w:rsidR="00C86EEA" w:rsidRDefault="00C86EEA" w:rsidP="00E82279">
      <w:pPr>
        <w:pStyle w:val="Textoindependiente"/>
        <w:rPr>
          <w:rFonts w:ascii="gobCL" w:hAnsi="gobCL"/>
        </w:rPr>
      </w:pPr>
    </w:p>
    <w:p w14:paraId="014193C3" w14:textId="77777777" w:rsidR="00C86EEA" w:rsidRPr="00A3229D" w:rsidRDefault="00C86EEA" w:rsidP="00E82279">
      <w:pPr>
        <w:pStyle w:val="Textoindependiente"/>
        <w:rPr>
          <w:rFonts w:ascii="gobCL" w:hAnsi="gobCL"/>
        </w:rPr>
      </w:pPr>
    </w:p>
    <w:p w14:paraId="79F74D52" w14:textId="4BC8E8BC" w:rsidR="001A46A0" w:rsidRPr="00A3229D" w:rsidRDefault="00F63DA1" w:rsidP="001A46A0">
      <w:pPr>
        <w:pStyle w:val="Textoindependiente"/>
        <w:rPr>
          <w:rFonts w:ascii="gobCL" w:hAnsi="gobCL"/>
          <w:b/>
          <w:bCs/>
          <w:sz w:val="24"/>
        </w:rPr>
      </w:pPr>
      <w:r w:rsidRPr="00A3229D">
        <w:rPr>
          <w:rFonts w:ascii="gobCL" w:hAnsi="gobCL"/>
          <w:b/>
          <w:bCs/>
          <w:sz w:val="24"/>
        </w:rPr>
        <w:t xml:space="preserve">3.2 </w:t>
      </w:r>
      <w:r w:rsidR="001A46A0" w:rsidRPr="00A3229D">
        <w:rPr>
          <w:rFonts w:ascii="gobCL" w:hAnsi="gobCL"/>
          <w:b/>
          <w:bCs/>
          <w:sz w:val="24"/>
        </w:rPr>
        <w:t>Lotes</w:t>
      </w:r>
      <w:r w:rsidR="006B285F" w:rsidRPr="00A3229D">
        <w:rPr>
          <w:rFonts w:ascii="gobCL" w:hAnsi="gobCL"/>
          <w:b/>
          <w:bCs/>
          <w:sz w:val="24"/>
        </w:rPr>
        <w:t xml:space="preserve"> y precio mínimo</w:t>
      </w:r>
    </w:p>
    <w:p w14:paraId="2458BA44" w14:textId="77777777" w:rsidR="00641540" w:rsidRPr="00A3229D" w:rsidRDefault="00641540" w:rsidP="001A46A0">
      <w:pPr>
        <w:pStyle w:val="Textoindependiente"/>
        <w:rPr>
          <w:rFonts w:ascii="gobCL" w:hAnsi="gobCL"/>
          <w:bCs/>
        </w:rPr>
      </w:pPr>
    </w:p>
    <w:p w14:paraId="697D296E" w14:textId="387A5E9B" w:rsidR="00657E31" w:rsidRPr="00A3229D" w:rsidRDefault="00657E31" w:rsidP="00657E31">
      <w:pPr>
        <w:pStyle w:val="Textoindependiente"/>
        <w:rPr>
          <w:rFonts w:ascii="gobCL" w:hAnsi="gobCL"/>
          <w:bCs/>
        </w:rPr>
      </w:pPr>
      <w:r w:rsidRPr="00A3229D">
        <w:rPr>
          <w:rFonts w:ascii="gobCL" w:hAnsi="gobCL"/>
          <w:bCs/>
        </w:rPr>
        <w:t xml:space="preserve">En base a la cuota industrial de la pesquería </w:t>
      </w:r>
      <w:r w:rsidRPr="00A52A6B">
        <w:rPr>
          <w:rFonts w:ascii="gobCL" w:hAnsi="gobCL"/>
          <w:bCs/>
        </w:rPr>
        <w:t xml:space="preserve">de </w:t>
      </w:r>
      <w:r w:rsidR="004E0114" w:rsidRPr="00A52A6B">
        <w:rPr>
          <w:rFonts w:ascii="gobCL" w:hAnsi="gobCL"/>
          <w:bCs/>
        </w:rPr>
        <w:t>Anchoveta</w:t>
      </w:r>
      <w:r w:rsidRPr="00A52A6B">
        <w:rPr>
          <w:rFonts w:ascii="gobCL" w:hAnsi="gobCL"/>
          <w:bCs/>
        </w:rPr>
        <w:t xml:space="preserve"> en su unidad de pesquerí</w:t>
      </w:r>
      <w:r w:rsidR="004E0114" w:rsidRPr="00A52A6B">
        <w:rPr>
          <w:rFonts w:ascii="gobCL" w:hAnsi="gobCL"/>
          <w:bCs/>
        </w:rPr>
        <w:t>a</w:t>
      </w:r>
      <w:r w:rsidR="004E0114" w:rsidRPr="00A52A6B">
        <w:rPr>
          <w:rFonts w:ascii="gobCL" w:hAnsi="gobCL"/>
        </w:rPr>
        <w:t xml:space="preserve"> comprendida entre las regiones de Arica y Parinacota a Antofagasta</w:t>
      </w:r>
      <w:r w:rsidR="004E0114" w:rsidRPr="00A52A6B">
        <w:rPr>
          <w:rFonts w:ascii="gobCL" w:hAnsi="gobCL"/>
          <w:bCs/>
        </w:rPr>
        <w:t xml:space="preserve"> </w:t>
      </w:r>
      <w:r w:rsidR="00845B09" w:rsidRPr="00A52A6B">
        <w:rPr>
          <w:rStyle w:val="Refdenotaalpie"/>
          <w:rFonts w:ascii="gobCL" w:hAnsi="gobCL"/>
          <w:bCs/>
        </w:rPr>
        <w:footnoteReference w:id="1"/>
      </w:r>
      <w:r w:rsidRPr="00A52A6B">
        <w:rPr>
          <w:rFonts w:ascii="gobCL" w:hAnsi="gobCL"/>
          <w:bCs/>
        </w:rPr>
        <w:t xml:space="preserve">, se deben subastar </w:t>
      </w:r>
      <w:r w:rsidR="00A52A6B" w:rsidRPr="00A52A6B">
        <w:rPr>
          <w:rFonts w:ascii="gobCL" w:hAnsi="gobCL"/>
          <w:bCs/>
        </w:rPr>
        <w:t>nueve</w:t>
      </w:r>
      <w:r w:rsidRPr="00A52A6B">
        <w:rPr>
          <w:rFonts w:ascii="gobCL" w:hAnsi="gobCL"/>
          <w:bCs/>
        </w:rPr>
        <w:t xml:space="preserve"> lotes de </w:t>
      </w:r>
      <w:r w:rsidR="00A52A6B" w:rsidRPr="00A52A6B">
        <w:rPr>
          <w:rFonts w:ascii="gobCL" w:hAnsi="gobCL"/>
          <w:bCs/>
        </w:rPr>
        <w:t>1</w:t>
      </w:r>
      <w:r w:rsidRPr="00A52A6B">
        <w:rPr>
          <w:rFonts w:ascii="gobCL" w:hAnsi="gobCL"/>
          <w:bCs/>
        </w:rPr>
        <w:t>%</w:t>
      </w:r>
      <w:r w:rsidR="00A52A6B" w:rsidRPr="00A52A6B">
        <w:rPr>
          <w:rFonts w:ascii="gobCL" w:hAnsi="gobCL"/>
          <w:bCs/>
        </w:rPr>
        <w:t xml:space="preserve">; diez lotes de 2% y cinco lotes de 3% </w:t>
      </w:r>
      <w:r w:rsidRPr="00A52A6B">
        <w:rPr>
          <w:rFonts w:ascii="gobCL" w:hAnsi="gobCL"/>
          <w:bCs/>
        </w:rPr>
        <w:t>de la cuota industrial 202</w:t>
      </w:r>
      <w:r w:rsidR="00A52A6B" w:rsidRPr="00A52A6B">
        <w:rPr>
          <w:rFonts w:ascii="gobCL" w:hAnsi="gobCL"/>
          <w:bCs/>
        </w:rPr>
        <w:t>5</w:t>
      </w:r>
      <w:r w:rsidRPr="00A52A6B">
        <w:rPr>
          <w:rFonts w:ascii="gobCL" w:hAnsi="gobCL"/>
          <w:bCs/>
        </w:rPr>
        <w:t xml:space="preserve"> para empresas de menor tamaño con vigencia desde 20</w:t>
      </w:r>
      <w:r w:rsidR="00A52A6B" w:rsidRPr="00A52A6B">
        <w:rPr>
          <w:rFonts w:ascii="gobCL" w:hAnsi="gobCL"/>
          <w:bCs/>
        </w:rPr>
        <w:t>19</w:t>
      </w:r>
      <w:r w:rsidRPr="00A52A6B">
        <w:rPr>
          <w:rFonts w:ascii="gobCL" w:hAnsi="gobCL"/>
          <w:bCs/>
        </w:rPr>
        <w:t xml:space="preserve"> hasta 203</w:t>
      </w:r>
      <w:r w:rsidR="0093552E" w:rsidRPr="00A52A6B">
        <w:rPr>
          <w:rFonts w:ascii="gobCL" w:hAnsi="gobCL"/>
          <w:bCs/>
        </w:rPr>
        <w:t>9</w:t>
      </w:r>
      <w:r w:rsidR="00F065A5" w:rsidRPr="00A52A6B">
        <w:rPr>
          <w:rFonts w:ascii="gobCL" w:hAnsi="gobCL"/>
          <w:bCs/>
        </w:rPr>
        <w:t xml:space="preserve"> </w:t>
      </w:r>
      <w:r w:rsidRPr="00A52A6B">
        <w:rPr>
          <w:rFonts w:ascii="gobCL" w:hAnsi="gobCL"/>
          <w:bCs/>
        </w:rPr>
        <w:t>(1</w:t>
      </w:r>
      <w:r w:rsidR="0093552E" w:rsidRPr="00A52A6B">
        <w:rPr>
          <w:rFonts w:ascii="gobCL" w:hAnsi="gobCL"/>
          <w:bCs/>
        </w:rPr>
        <w:t>6</w:t>
      </w:r>
      <w:r w:rsidRPr="00A52A6B">
        <w:rPr>
          <w:rFonts w:ascii="gobCL" w:hAnsi="gobCL"/>
          <w:bCs/>
        </w:rPr>
        <w:t xml:space="preserve"> años). El tamaño del lote, las toneladas y el precio mínimo se informa en Tabla </w:t>
      </w:r>
      <w:r w:rsidR="00E53652">
        <w:rPr>
          <w:rFonts w:ascii="gobCL" w:hAnsi="gobCL"/>
          <w:bCs/>
        </w:rPr>
        <w:t>3</w:t>
      </w:r>
      <w:r w:rsidRPr="00A52A6B">
        <w:rPr>
          <w:rFonts w:ascii="gobCL" w:hAnsi="gobCL"/>
          <w:bCs/>
        </w:rPr>
        <w:t>.</w:t>
      </w:r>
    </w:p>
    <w:p w14:paraId="01AB4A64" w14:textId="77777777" w:rsidR="00657E31" w:rsidRDefault="00657E31" w:rsidP="00657E31">
      <w:pPr>
        <w:jc w:val="center"/>
        <w:rPr>
          <w:rFonts w:ascii="gobCL" w:hAnsi="gobCL"/>
          <w:sz w:val="20"/>
          <w:szCs w:val="20"/>
        </w:rPr>
      </w:pPr>
    </w:p>
    <w:p w14:paraId="2351813F" w14:textId="213E30E5" w:rsidR="00657E31" w:rsidRPr="00A3229D" w:rsidRDefault="00657E31" w:rsidP="00657E31">
      <w:pPr>
        <w:jc w:val="center"/>
        <w:rPr>
          <w:rFonts w:ascii="gobCL" w:hAnsi="gobCL"/>
          <w:sz w:val="20"/>
        </w:rPr>
      </w:pPr>
      <w:r w:rsidRPr="00A3229D">
        <w:rPr>
          <w:rFonts w:ascii="gobCL" w:hAnsi="gobCL"/>
          <w:sz w:val="20"/>
          <w:szCs w:val="20"/>
        </w:rPr>
        <w:t xml:space="preserve">Tabla </w:t>
      </w:r>
      <w:r w:rsidR="00E53652">
        <w:rPr>
          <w:rFonts w:ascii="gobCL" w:hAnsi="gobCL"/>
          <w:sz w:val="20"/>
          <w:szCs w:val="20"/>
        </w:rPr>
        <w:t>3</w:t>
      </w:r>
      <w:r w:rsidRPr="00A3229D">
        <w:rPr>
          <w:rFonts w:ascii="gobCL" w:hAnsi="gobCL"/>
          <w:sz w:val="20"/>
          <w:szCs w:val="20"/>
        </w:rPr>
        <w:t>. Lotes a subastar</w:t>
      </w:r>
      <w:r w:rsidR="00B23297" w:rsidRPr="00A3229D">
        <w:rPr>
          <w:rFonts w:ascii="gobCL" w:hAnsi="gobCL"/>
          <w:sz w:val="20"/>
          <w:szCs w:val="20"/>
        </w:rPr>
        <w:t xml:space="preserve">, </w:t>
      </w:r>
      <w:r w:rsidRPr="00A3229D">
        <w:rPr>
          <w:rFonts w:ascii="gobCL" w:hAnsi="gobCL"/>
          <w:sz w:val="20"/>
          <w:szCs w:val="20"/>
        </w:rPr>
        <w:t>precio mínimo en $/lote y UTM/lote para</w:t>
      </w:r>
      <w:r w:rsidRPr="00A3229D">
        <w:rPr>
          <w:rFonts w:ascii="gobCL" w:hAnsi="gobCL"/>
        </w:rPr>
        <w:t xml:space="preserve"> </w:t>
      </w:r>
      <w:r w:rsidR="003C5852">
        <w:rPr>
          <w:rFonts w:ascii="gobCL" w:hAnsi="gobCL"/>
          <w:sz w:val="20"/>
        </w:rPr>
        <w:t xml:space="preserve">anchoveta </w:t>
      </w:r>
      <w:proofErr w:type="spellStart"/>
      <w:r w:rsidR="003C5852">
        <w:rPr>
          <w:rFonts w:ascii="gobCL" w:hAnsi="gobCL"/>
          <w:sz w:val="20"/>
        </w:rPr>
        <w:t>AyP</w:t>
      </w:r>
      <w:proofErr w:type="spellEnd"/>
      <w:r w:rsidR="003C5852">
        <w:rPr>
          <w:rFonts w:ascii="gobCL" w:hAnsi="gobCL"/>
          <w:sz w:val="20"/>
        </w:rPr>
        <w:t>-ANTOF.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82"/>
        <w:gridCol w:w="922"/>
        <w:gridCol w:w="1415"/>
        <w:gridCol w:w="1349"/>
        <w:gridCol w:w="1441"/>
        <w:gridCol w:w="1697"/>
        <w:gridCol w:w="1336"/>
      </w:tblGrid>
      <w:tr w:rsidR="005869B5" w:rsidRPr="00DB48F0" w14:paraId="6154F631" w14:textId="084158AC" w:rsidTr="00041556">
        <w:trPr>
          <w:jc w:val="center"/>
        </w:trPr>
        <w:tc>
          <w:tcPr>
            <w:tcW w:w="1082" w:type="dxa"/>
            <w:vAlign w:val="center"/>
          </w:tcPr>
          <w:p w14:paraId="54313D08" w14:textId="563F7623" w:rsidR="005869B5" w:rsidRPr="00DB48F0" w:rsidRDefault="005869B5" w:rsidP="00A84C69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>
              <w:rPr>
                <w:rFonts w:ascii="gobCL" w:hAnsi="gobCL"/>
                <w:sz w:val="18"/>
                <w:szCs w:val="22"/>
              </w:rPr>
              <w:t>Tipo oferente</w:t>
            </w:r>
          </w:p>
        </w:tc>
        <w:tc>
          <w:tcPr>
            <w:tcW w:w="922" w:type="dxa"/>
            <w:vAlign w:val="center"/>
          </w:tcPr>
          <w:p w14:paraId="7FFF43C1" w14:textId="77777777" w:rsidR="005869B5" w:rsidRPr="00DB48F0" w:rsidRDefault="005869B5" w:rsidP="00A84C69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Lote</w:t>
            </w:r>
          </w:p>
        </w:tc>
        <w:tc>
          <w:tcPr>
            <w:tcW w:w="1415" w:type="dxa"/>
            <w:vAlign w:val="center"/>
          </w:tcPr>
          <w:p w14:paraId="7ED739DF" w14:textId="77777777" w:rsidR="005869B5" w:rsidRPr="00DB48F0" w:rsidRDefault="005869B5" w:rsidP="00A84C69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Coeficiente</w:t>
            </w:r>
          </w:p>
        </w:tc>
        <w:tc>
          <w:tcPr>
            <w:tcW w:w="1349" w:type="dxa"/>
            <w:vAlign w:val="center"/>
          </w:tcPr>
          <w:p w14:paraId="21D41C78" w14:textId="77777777" w:rsidR="005869B5" w:rsidRPr="00DB48F0" w:rsidRDefault="005869B5" w:rsidP="00A84C69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Porcentaje</w:t>
            </w:r>
          </w:p>
        </w:tc>
        <w:tc>
          <w:tcPr>
            <w:tcW w:w="1441" w:type="dxa"/>
            <w:vAlign w:val="center"/>
          </w:tcPr>
          <w:p w14:paraId="409C300F" w14:textId="44222948" w:rsidR="005869B5" w:rsidRPr="00FA725F" w:rsidRDefault="005869B5" w:rsidP="005869B5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FA725F">
              <w:rPr>
                <w:rFonts w:ascii="gobCL" w:hAnsi="gobCL"/>
                <w:sz w:val="18"/>
                <w:szCs w:val="22"/>
              </w:rPr>
              <w:t>Lote (t)</w:t>
            </w:r>
          </w:p>
        </w:tc>
        <w:tc>
          <w:tcPr>
            <w:tcW w:w="1697" w:type="dxa"/>
            <w:vAlign w:val="center"/>
          </w:tcPr>
          <w:p w14:paraId="4530E2FE" w14:textId="08690973" w:rsidR="005869B5" w:rsidRPr="00FA725F" w:rsidRDefault="005869B5" w:rsidP="00A52A6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FA725F">
              <w:rPr>
                <w:rFonts w:ascii="gobCL" w:hAnsi="gobCL"/>
                <w:sz w:val="18"/>
                <w:szCs w:val="22"/>
              </w:rPr>
              <w:t>Precio mínimo ($/lote)</w:t>
            </w:r>
          </w:p>
        </w:tc>
        <w:tc>
          <w:tcPr>
            <w:tcW w:w="1336" w:type="dxa"/>
            <w:vAlign w:val="center"/>
          </w:tcPr>
          <w:p w14:paraId="4DF37183" w14:textId="4A1452B1" w:rsidR="005869B5" w:rsidRPr="00FA725F" w:rsidRDefault="005869B5" w:rsidP="00A52A6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FA725F">
              <w:rPr>
                <w:rFonts w:ascii="gobCL" w:hAnsi="gobCL"/>
                <w:sz w:val="18"/>
                <w:szCs w:val="22"/>
              </w:rPr>
              <w:t>UTM/lote</w:t>
            </w:r>
          </w:p>
        </w:tc>
      </w:tr>
      <w:tr w:rsidR="00041556" w:rsidRPr="00DB48F0" w14:paraId="22A298CD" w14:textId="0F567CD1" w:rsidTr="00041556">
        <w:trPr>
          <w:jc w:val="center"/>
        </w:trPr>
        <w:tc>
          <w:tcPr>
            <w:tcW w:w="1082" w:type="dxa"/>
            <w:vMerge w:val="restart"/>
            <w:vAlign w:val="center"/>
          </w:tcPr>
          <w:p w14:paraId="1375A466" w14:textId="5635F846" w:rsidR="00041556" w:rsidRPr="00DB48F0" w:rsidRDefault="00041556" w:rsidP="00041556">
            <w:pPr>
              <w:pStyle w:val="Textoindependiente"/>
              <w:jc w:val="left"/>
              <w:rPr>
                <w:rFonts w:ascii="gobCL" w:hAnsi="gobCL"/>
                <w:sz w:val="18"/>
                <w:szCs w:val="22"/>
              </w:rPr>
            </w:pPr>
            <w:r>
              <w:rPr>
                <w:rFonts w:ascii="gobCL" w:hAnsi="gobCL"/>
                <w:sz w:val="18"/>
                <w:szCs w:val="22"/>
              </w:rPr>
              <w:t>EMT</w:t>
            </w:r>
          </w:p>
        </w:tc>
        <w:tc>
          <w:tcPr>
            <w:tcW w:w="922" w:type="dxa"/>
            <w:vAlign w:val="center"/>
          </w:tcPr>
          <w:p w14:paraId="2330946E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</w:t>
            </w:r>
          </w:p>
        </w:tc>
        <w:tc>
          <w:tcPr>
            <w:tcW w:w="1415" w:type="dxa"/>
            <w:vAlign w:val="center"/>
          </w:tcPr>
          <w:p w14:paraId="19BAFC5B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0,0005000</w:t>
            </w:r>
          </w:p>
        </w:tc>
        <w:tc>
          <w:tcPr>
            <w:tcW w:w="1349" w:type="dxa"/>
            <w:vAlign w:val="center"/>
          </w:tcPr>
          <w:p w14:paraId="356FF1F8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1,00%</w:t>
            </w:r>
          </w:p>
        </w:tc>
        <w:tc>
          <w:tcPr>
            <w:tcW w:w="1441" w:type="dxa"/>
          </w:tcPr>
          <w:p w14:paraId="05256709" w14:textId="02202C50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240,326</w:t>
            </w:r>
          </w:p>
        </w:tc>
        <w:tc>
          <w:tcPr>
            <w:tcW w:w="1697" w:type="dxa"/>
          </w:tcPr>
          <w:p w14:paraId="111D9A04" w14:textId="5AC1B548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1.681.306</w:t>
            </w:r>
          </w:p>
        </w:tc>
        <w:tc>
          <w:tcPr>
            <w:tcW w:w="1336" w:type="dxa"/>
          </w:tcPr>
          <w:p w14:paraId="03FF29AF" w14:textId="49032AA6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25,23</w:t>
            </w:r>
          </w:p>
        </w:tc>
      </w:tr>
      <w:tr w:rsidR="00041556" w:rsidRPr="00DB48F0" w14:paraId="33AF1772" w14:textId="6EEEC430" w:rsidTr="00041556">
        <w:trPr>
          <w:jc w:val="center"/>
        </w:trPr>
        <w:tc>
          <w:tcPr>
            <w:tcW w:w="1082" w:type="dxa"/>
            <w:vMerge/>
            <w:vAlign w:val="center"/>
          </w:tcPr>
          <w:p w14:paraId="52CCC4EB" w14:textId="3CEE6EFB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</w:p>
        </w:tc>
        <w:tc>
          <w:tcPr>
            <w:tcW w:w="922" w:type="dxa"/>
            <w:vAlign w:val="center"/>
          </w:tcPr>
          <w:p w14:paraId="14AB3A0C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3</w:t>
            </w:r>
          </w:p>
        </w:tc>
        <w:tc>
          <w:tcPr>
            <w:tcW w:w="1415" w:type="dxa"/>
            <w:vAlign w:val="center"/>
          </w:tcPr>
          <w:p w14:paraId="07DEAD90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0,0005000</w:t>
            </w:r>
          </w:p>
        </w:tc>
        <w:tc>
          <w:tcPr>
            <w:tcW w:w="1349" w:type="dxa"/>
          </w:tcPr>
          <w:p w14:paraId="04B52091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1,00%</w:t>
            </w:r>
          </w:p>
        </w:tc>
        <w:tc>
          <w:tcPr>
            <w:tcW w:w="1441" w:type="dxa"/>
          </w:tcPr>
          <w:p w14:paraId="0652021B" w14:textId="0F5FBA72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240,326</w:t>
            </w:r>
          </w:p>
        </w:tc>
        <w:tc>
          <w:tcPr>
            <w:tcW w:w="1697" w:type="dxa"/>
          </w:tcPr>
          <w:p w14:paraId="19BB7C72" w14:textId="675F1526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1.681.306</w:t>
            </w:r>
          </w:p>
        </w:tc>
        <w:tc>
          <w:tcPr>
            <w:tcW w:w="1336" w:type="dxa"/>
          </w:tcPr>
          <w:p w14:paraId="58E94652" w14:textId="3E0A89CC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25,23</w:t>
            </w:r>
          </w:p>
        </w:tc>
      </w:tr>
      <w:tr w:rsidR="00041556" w:rsidRPr="00DB48F0" w14:paraId="5BDB1B82" w14:textId="083B8C63" w:rsidTr="00041556">
        <w:trPr>
          <w:jc w:val="center"/>
        </w:trPr>
        <w:tc>
          <w:tcPr>
            <w:tcW w:w="1082" w:type="dxa"/>
            <w:vMerge/>
            <w:vAlign w:val="center"/>
          </w:tcPr>
          <w:p w14:paraId="5F232FCD" w14:textId="2224715F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</w:p>
        </w:tc>
        <w:tc>
          <w:tcPr>
            <w:tcW w:w="922" w:type="dxa"/>
            <w:vAlign w:val="center"/>
          </w:tcPr>
          <w:p w14:paraId="63EDBEEF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4</w:t>
            </w:r>
          </w:p>
        </w:tc>
        <w:tc>
          <w:tcPr>
            <w:tcW w:w="1415" w:type="dxa"/>
            <w:vAlign w:val="center"/>
          </w:tcPr>
          <w:p w14:paraId="32C2D382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0,0005000</w:t>
            </w:r>
          </w:p>
        </w:tc>
        <w:tc>
          <w:tcPr>
            <w:tcW w:w="1349" w:type="dxa"/>
          </w:tcPr>
          <w:p w14:paraId="7738DF4A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1,00%</w:t>
            </w:r>
          </w:p>
        </w:tc>
        <w:tc>
          <w:tcPr>
            <w:tcW w:w="1441" w:type="dxa"/>
          </w:tcPr>
          <w:p w14:paraId="6AC3E9F1" w14:textId="1E32C3BF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240,326</w:t>
            </w:r>
          </w:p>
        </w:tc>
        <w:tc>
          <w:tcPr>
            <w:tcW w:w="1697" w:type="dxa"/>
          </w:tcPr>
          <w:p w14:paraId="04F22F2D" w14:textId="4C846309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1.681.306</w:t>
            </w:r>
          </w:p>
        </w:tc>
        <w:tc>
          <w:tcPr>
            <w:tcW w:w="1336" w:type="dxa"/>
          </w:tcPr>
          <w:p w14:paraId="6F856836" w14:textId="3BD6A32F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25,23</w:t>
            </w:r>
          </w:p>
        </w:tc>
      </w:tr>
      <w:tr w:rsidR="00041556" w:rsidRPr="00DB48F0" w14:paraId="68B4BD43" w14:textId="6BFBCCEF" w:rsidTr="00041556">
        <w:trPr>
          <w:jc w:val="center"/>
        </w:trPr>
        <w:tc>
          <w:tcPr>
            <w:tcW w:w="1082" w:type="dxa"/>
            <w:vMerge/>
            <w:vAlign w:val="center"/>
          </w:tcPr>
          <w:p w14:paraId="7FBB2D5A" w14:textId="6B1E0959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</w:p>
        </w:tc>
        <w:tc>
          <w:tcPr>
            <w:tcW w:w="922" w:type="dxa"/>
            <w:vAlign w:val="center"/>
          </w:tcPr>
          <w:p w14:paraId="4AC7E1D0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5</w:t>
            </w:r>
          </w:p>
        </w:tc>
        <w:tc>
          <w:tcPr>
            <w:tcW w:w="1415" w:type="dxa"/>
            <w:vAlign w:val="center"/>
          </w:tcPr>
          <w:p w14:paraId="712EB5D0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0,0005000</w:t>
            </w:r>
          </w:p>
        </w:tc>
        <w:tc>
          <w:tcPr>
            <w:tcW w:w="1349" w:type="dxa"/>
          </w:tcPr>
          <w:p w14:paraId="2801D0D1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1,00%</w:t>
            </w:r>
          </w:p>
        </w:tc>
        <w:tc>
          <w:tcPr>
            <w:tcW w:w="1441" w:type="dxa"/>
          </w:tcPr>
          <w:p w14:paraId="11A534A1" w14:textId="7543E47C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240,326</w:t>
            </w:r>
          </w:p>
        </w:tc>
        <w:tc>
          <w:tcPr>
            <w:tcW w:w="1697" w:type="dxa"/>
          </w:tcPr>
          <w:p w14:paraId="11867F3A" w14:textId="737D8BED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1.681.306</w:t>
            </w:r>
          </w:p>
        </w:tc>
        <w:tc>
          <w:tcPr>
            <w:tcW w:w="1336" w:type="dxa"/>
          </w:tcPr>
          <w:p w14:paraId="35F1EDA0" w14:textId="3E59B723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25,23</w:t>
            </w:r>
          </w:p>
        </w:tc>
      </w:tr>
      <w:tr w:rsidR="00041556" w:rsidRPr="00DB48F0" w14:paraId="000D747C" w14:textId="1D35F642" w:rsidTr="00041556">
        <w:trPr>
          <w:jc w:val="center"/>
        </w:trPr>
        <w:tc>
          <w:tcPr>
            <w:tcW w:w="1082" w:type="dxa"/>
            <w:vMerge/>
            <w:vAlign w:val="center"/>
          </w:tcPr>
          <w:p w14:paraId="78CD9D49" w14:textId="7A59923D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</w:p>
        </w:tc>
        <w:tc>
          <w:tcPr>
            <w:tcW w:w="922" w:type="dxa"/>
            <w:vAlign w:val="center"/>
          </w:tcPr>
          <w:p w14:paraId="0317F395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6</w:t>
            </w:r>
          </w:p>
        </w:tc>
        <w:tc>
          <w:tcPr>
            <w:tcW w:w="1415" w:type="dxa"/>
            <w:vAlign w:val="center"/>
          </w:tcPr>
          <w:p w14:paraId="48E84A8F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0,0005000</w:t>
            </w:r>
          </w:p>
        </w:tc>
        <w:tc>
          <w:tcPr>
            <w:tcW w:w="1349" w:type="dxa"/>
          </w:tcPr>
          <w:p w14:paraId="128128F8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1,00%</w:t>
            </w:r>
          </w:p>
        </w:tc>
        <w:tc>
          <w:tcPr>
            <w:tcW w:w="1441" w:type="dxa"/>
          </w:tcPr>
          <w:p w14:paraId="0CADD407" w14:textId="57273EE8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240,326</w:t>
            </w:r>
          </w:p>
        </w:tc>
        <w:tc>
          <w:tcPr>
            <w:tcW w:w="1697" w:type="dxa"/>
          </w:tcPr>
          <w:p w14:paraId="7004818B" w14:textId="37F9CD52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1.681.306</w:t>
            </w:r>
          </w:p>
        </w:tc>
        <w:tc>
          <w:tcPr>
            <w:tcW w:w="1336" w:type="dxa"/>
          </w:tcPr>
          <w:p w14:paraId="3A35015E" w14:textId="7D6FE6A3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25,23</w:t>
            </w:r>
          </w:p>
        </w:tc>
      </w:tr>
      <w:tr w:rsidR="00041556" w:rsidRPr="00DB48F0" w14:paraId="09237FA8" w14:textId="1E824041" w:rsidTr="00041556">
        <w:trPr>
          <w:jc w:val="center"/>
        </w:trPr>
        <w:tc>
          <w:tcPr>
            <w:tcW w:w="1082" w:type="dxa"/>
            <w:vMerge/>
            <w:vAlign w:val="center"/>
          </w:tcPr>
          <w:p w14:paraId="1F3A69FA" w14:textId="594C388D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</w:p>
        </w:tc>
        <w:tc>
          <w:tcPr>
            <w:tcW w:w="922" w:type="dxa"/>
            <w:vAlign w:val="center"/>
          </w:tcPr>
          <w:p w14:paraId="1F0066C1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7</w:t>
            </w:r>
          </w:p>
        </w:tc>
        <w:tc>
          <w:tcPr>
            <w:tcW w:w="1415" w:type="dxa"/>
            <w:vAlign w:val="center"/>
          </w:tcPr>
          <w:p w14:paraId="6D72AD70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0,0005000</w:t>
            </w:r>
          </w:p>
        </w:tc>
        <w:tc>
          <w:tcPr>
            <w:tcW w:w="1349" w:type="dxa"/>
          </w:tcPr>
          <w:p w14:paraId="63748BC9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1,00%</w:t>
            </w:r>
          </w:p>
        </w:tc>
        <w:tc>
          <w:tcPr>
            <w:tcW w:w="1441" w:type="dxa"/>
          </w:tcPr>
          <w:p w14:paraId="6F8605BF" w14:textId="37510348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240,326</w:t>
            </w:r>
          </w:p>
        </w:tc>
        <w:tc>
          <w:tcPr>
            <w:tcW w:w="1697" w:type="dxa"/>
          </w:tcPr>
          <w:p w14:paraId="001D83E2" w14:textId="6C276456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1.681.306</w:t>
            </w:r>
          </w:p>
        </w:tc>
        <w:tc>
          <w:tcPr>
            <w:tcW w:w="1336" w:type="dxa"/>
          </w:tcPr>
          <w:p w14:paraId="05E7AD92" w14:textId="666648AE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25,23</w:t>
            </w:r>
          </w:p>
        </w:tc>
      </w:tr>
      <w:tr w:rsidR="00041556" w:rsidRPr="00DB48F0" w14:paraId="1C4AA9F3" w14:textId="23FA771C" w:rsidTr="00041556">
        <w:trPr>
          <w:jc w:val="center"/>
        </w:trPr>
        <w:tc>
          <w:tcPr>
            <w:tcW w:w="1082" w:type="dxa"/>
            <w:vMerge/>
            <w:vAlign w:val="center"/>
          </w:tcPr>
          <w:p w14:paraId="31E4F725" w14:textId="5C2265F1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</w:p>
        </w:tc>
        <w:tc>
          <w:tcPr>
            <w:tcW w:w="922" w:type="dxa"/>
            <w:vAlign w:val="center"/>
          </w:tcPr>
          <w:p w14:paraId="37EA193D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8</w:t>
            </w:r>
          </w:p>
        </w:tc>
        <w:tc>
          <w:tcPr>
            <w:tcW w:w="1415" w:type="dxa"/>
            <w:vAlign w:val="center"/>
          </w:tcPr>
          <w:p w14:paraId="2AD707FD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0,0005000</w:t>
            </w:r>
          </w:p>
        </w:tc>
        <w:tc>
          <w:tcPr>
            <w:tcW w:w="1349" w:type="dxa"/>
          </w:tcPr>
          <w:p w14:paraId="165A2BB0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1,00%</w:t>
            </w:r>
          </w:p>
        </w:tc>
        <w:tc>
          <w:tcPr>
            <w:tcW w:w="1441" w:type="dxa"/>
          </w:tcPr>
          <w:p w14:paraId="5F32575E" w14:textId="6386667C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240,326</w:t>
            </w:r>
          </w:p>
        </w:tc>
        <w:tc>
          <w:tcPr>
            <w:tcW w:w="1697" w:type="dxa"/>
          </w:tcPr>
          <w:p w14:paraId="03ACF97A" w14:textId="19938D30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1.681.306</w:t>
            </w:r>
          </w:p>
        </w:tc>
        <w:tc>
          <w:tcPr>
            <w:tcW w:w="1336" w:type="dxa"/>
          </w:tcPr>
          <w:p w14:paraId="5AB82212" w14:textId="1F92C4E2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25,23</w:t>
            </w:r>
          </w:p>
        </w:tc>
      </w:tr>
      <w:tr w:rsidR="00041556" w:rsidRPr="00DB48F0" w14:paraId="227170B6" w14:textId="64FFEF84" w:rsidTr="00041556">
        <w:trPr>
          <w:jc w:val="center"/>
        </w:trPr>
        <w:tc>
          <w:tcPr>
            <w:tcW w:w="1082" w:type="dxa"/>
            <w:vMerge/>
            <w:vAlign w:val="center"/>
          </w:tcPr>
          <w:p w14:paraId="77668CCA" w14:textId="2EADBDE5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</w:p>
        </w:tc>
        <w:tc>
          <w:tcPr>
            <w:tcW w:w="922" w:type="dxa"/>
            <w:vAlign w:val="center"/>
          </w:tcPr>
          <w:p w14:paraId="34342675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9</w:t>
            </w:r>
          </w:p>
        </w:tc>
        <w:tc>
          <w:tcPr>
            <w:tcW w:w="1415" w:type="dxa"/>
            <w:vAlign w:val="center"/>
          </w:tcPr>
          <w:p w14:paraId="4FB420C2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0,0005000</w:t>
            </w:r>
          </w:p>
        </w:tc>
        <w:tc>
          <w:tcPr>
            <w:tcW w:w="1349" w:type="dxa"/>
          </w:tcPr>
          <w:p w14:paraId="4C598C8A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1,00%</w:t>
            </w:r>
          </w:p>
        </w:tc>
        <w:tc>
          <w:tcPr>
            <w:tcW w:w="1441" w:type="dxa"/>
          </w:tcPr>
          <w:p w14:paraId="4533FDB6" w14:textId="49E49E00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240,326</w:t>
            </w:r>
          </w:p>
        </w:tc>
        <w:tc>
          <w:tcPr>
            <w:tcW w:w="1697" w:type="dxa"/>
          </w:tcPr>
          <w:p w14:paraId="6AF40793" w14:textId="06BDE693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1.681.306</w:t>
            </w:r>
          </w:p>
        </w:tc>
        <w:tc>
          <w:tcPr>
            <w:tcW w:w="1336" w:type="dxa"/>
          </w:tcPr>
          <w:p w14:paraId="49949922" w14:textId="35587C88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25,23</w:t>
            </w:r>
          </w:p>
        </w:tc>
      </w:tr>
      <w:tr w:rsidR="00041556" w:rsidRPr="00DB48F0" w14:paraId="342D3683" w14:textId="64C382B1" w:rsidTr="00041556">
        <w:trPr>
          <w:jc w:val="center"/>
        </w:trPr>
        <w:tc>
          <w:tcPr>
            <w:tcW w:w="1082" w:type="dxa"/>
            <w:vMerge/>
            <w:vAlign w:val="center"/>
          </w:tcPr>
          <w:p w14:paraId="74FDC324" w14:textId="5A5AD0E2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</w:p>
        </w:tc>
        <w:tc>
          <w:tcPr>
            <w:tcW w:w="922" w:type="dxa"/>
            <w:vAlign w:val="center"/>
          </w:tcPr>
          <w:p w14:paraId="463431CA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10</w:t>
            </w:r>
          </w:p>
        </w:tc>
        <w:tc>
          <w:tcPr>
            <w:tcW w:w="1415" w:type="dxa"/>
            <w:vAlign w:val="center"/>
          </w:tcPr>
          <w:p w14:paraId="5B66FA02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0,0005000</w:t>
            </w:r>
          </w:p>
        </w:tc>
        <w:tc>
          <w:tcPr>
            <w:tcW w:w="1349" w:type="dxa"/>
          </w:tcPr>
          <w:p w14:paraId="18920096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1,00%</w:t>
            </w:r>
          </w:p>
        </w:tc>
        <w:tc>
          <w:tcPr>
            <w:tcW w:w="1441" w:type="dxa"/>
          </w:tcPr>
          <w:p w14:paraId="68864A56" w14:textId="203D7E8F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240,326</w:t>
            </w:r>
          </w:p>
        </w:tc>
        <w:tc>
          <w:tcPr>
            <w:tcW w:w="1697" w:type="dxa"/>
          </w:tcPr>
          <w:p w14:paraId="014268F6" w14:textId="42BF2F5A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1.681.306</w:t>
            </w:r>
          </w:p>
        </w:tc>
        <w:tc>
          <w:tcPr>
            <w:tcW w:w="1336" w:type="dxa"/>
          </w:tcPr>
          <w:p w14:paraId="3B79BC3C" w14:textId="7B2E7F79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25,23</w:t>
            </w:r>
          </w:p>
        </w:tc>
      </w:tr>
      <w:tr w:rsidR="00041556" w:rsidRPr="00DB48F0" w14:paraId="4D0B6EEF" w14:textId="48370DE8" w:rsidTr="00041556">
        <w:trPr>
          <w:jc w:val="center"/>
        </w:trPr>
        <w:tc>
          <w:tcPr>
            <w:tcW w:w="1082" w:type="dxa"/>
            <w:vMerge/>
            <w:vAlign w:val="center"/>
          </w:tcPr>
          <w:p w14:paraId="45910606" w14:textId="690C4E02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</w:p>
        </w:tc>
        <w:tc>
          <w:tcPr>
            <w:tcW w:w="922" w:type="dxa"/>
            <w:vAlign w:val="center"/>
          </w:tcPr>
          <w:p w14:paraId="67A0E420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11</w:t>
            </w:r>
          </w:p>
        </w:tc>
        <w:tc>
          <w:tcPr>
            <w:tcW w:w="1415" w:type="dxa"/>
            <w:vAlign w:val="center"/>
          </w:tcPr>
          <w:p w14:paraId="225C9890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0,0010000</w:t>
            </w:r>
          </w:p>
        </w:tc>
        <w:tc>
          <w:tcPr>
            <w:tcW w:w="1349" w:type="dxa"/>
            <w:vAlign w:val="center"/>
          </w:tcPr>
          <w:p w14:paraId="5555863B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2,00%</w:t>
            </w:r>
          </w:p>
        </w:tc>
        <w:tc>
          <w:tcPr>
            <w:tcW w:w="1441" w:type="dxa"/>
          </w:tcPr>
          <w:p w14:paraId="35B70A31" w14:textId="5FD2D1BA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480,652</w:t>
            </w:r>
          </w:p>
        </w:tc>
        <w:tc>
          <w:tcPr>
            <w:tcW w:w="1697" w:type="dxa"/>
          </w:tcPr>
          <w:p w14:paraId="70FEE4B8" w14:textId="5758977A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3.362.613</w:t>
            </w:r>
          </w:p>
        </w:tc>
        <w:tc>
          <w:tcPr>
            <w:tcW w:w="1336" w:type="dxa"/>
          </w:tcPr>
          <w:p w14:paraId="031D5B65" w14:textId="38558CA1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50,46</w:t>
            </w:r>
          </w:p>
        </w:tc>
      </w:tr>
      <w:tr w:rsidR="00041556" w:rsidRPr="00DB48F0" w14:paraId="2DEB3042" w14:textId="1847EA91" w:rsidTr="00041556">
        <w:trPr>
          <w:jc w:val="center"/>
        </w:trPr>
        <w:tc>
          <w:tcPr>
            <w:tcW w:w="1082" w:type="dxa"/>
            <w:vMerge/>
            <w:vAlign w:val="center"/>
          </w:tcPr>
          <w:p w14:paraId="4AAB9712" w14:textId="18198FC0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</w:p>
        </w:tc>
        <w:tc>
          <w:tcPr>
            <w:tcW w:w="922" w:type="dxa"/>
            <w:vAlign w:val="center"/>
          </w:tcPr>
          <w:p w14:paraId="33CF7BFC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12</w:t>
            </w:r>
          </w:p>
        </w:tc>
        <w:tc>
          <w:tcPr>
            <w:tcW w:w="1415" w:type="dxa"/>
            <w:vAlign w:val="center"/>
          </w:tcPr>
          <w:p w14:paraId="39D44259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0,0010000</w:t>
            </w:r>
          </w:p>
        </w:tc>
        <w:tc>
          <w:tcPr>
            <w:tcW w:w="1349" w:type="dxa"/>
          </w:tcPr>
          <w:p w14:paraId="1F0214F8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2,00%</w:t>
            </w:r>
          </w:p>
        </w:tc>
        <w:tc>
          <w:tcPr>
            <w:tcW w:w="1441" w:type="dxa"/>
          </w:tcPr>
          <w:p w14:paraId="36026171" w14:textId="4B3F70CB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480,652</w:t>
            </w:r>
          </w:p>
        </w:tc>
        <w:tc>
          <w:tcPr>
            <w:tcW w:w="1697" w:type="dxa"/>
          </w:tcPr>
          <w:p w14:paraId="0141070B" w14:textId="5F6D5A9D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3.362.613</w:t>
            </w:r>
          </w:p>
        </w:tc>
        <w:tc>
          <w:tcPr>
            <w:tcW w:w="1336" w:type="dxa"/>
          </w:tcPr>
          <w:p w14:paraId="19FE6AFD" w14:textId="2CDEA272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50,46</w:t>
            </w:r>
          </w:p>
        </w:tc>
      </w:tr>
      <w:tr w:rsidR="00041556" w:rsidRPr="00DB48F0" w14:paraId="5E387AE8" w14:textId="505B19C4" w:rsidTr="00041556">
        <w:trPr>
          <w:jc w:val="center"/>
        </w:trPr>
        <w:tc>
          <w:tcPr>
            <w:tcW w:w="1082" w:type="dxa"/>
            <w:vMerge/>
            <w:vAlign w:val="center"/>
          </w:tcPr>
          <w:p w14:paraId="32A7165D" w14:textId="27AC773E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</w:p>
        </w:tc>
        <w:tc>
          <w:tcPr>
            <w:tcW w:w="922" w:type="dxa"/>
            <w:vAlign w:val="center"/>
          </w:tcPr>
          <w:p w14:paraId="4F11C513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13</w:t>
            </w:r>
          </w:p>
        </w:tc>
        <w:tc>
          <w:tcPr>
            <w:tcW w:w="1415" w:type="dxa"/>
            <w:vAlign w:val="center"/>
          </w:tcPr>
          <w:p w14:paraId="77C25B31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0,0010000</w:t>
            </w:r>
          </w:p>
        </w:tc>
        <w:tc>
          <w:tcPr>
            <w:tcW w:w="1349" w:type="dxa"/>
          </w:tcPr>
          <w:p w14:paraId="76315937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2,00%</w:t>
            </w:r>
          </w:p>
        </w:tc>
        <w:tc>
          <w:tcPr>
            <w:tcW w:w="1441" w:type="dxa"/>
          </w:tcPr>
          <w:p w14:paraId="6A98DD13" w14:textId="5820561A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480,652</w:t>
            </w:r>
          </w:p>
        </w:tc>
        <w:tc>
          <w:tcPr>
            <w:tcW w:w="1697" w:type="dxa"/>
          </w:tcPr>
          <w:p w14:paraId="449FEBD7" w14:textId="2A374ADD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3.362.613</w:t>
            </w:r>
          </w:p>
        </w:tc>
        <w:tc>
          <w:tcPr>
            <w:tcW w:w="1336" w:type="dxa"/>
          </w:tcPr>
          <w:p w14:paraId="51F85456" w14:textId="75A388B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50,46</w:t>
            </w:r>
          </w:p>
        </w:tc>
      </w:tr>
      <w:tr w:rsidR="00041556" w:rsidRPr="00DB48F0" w14:paraId="01F8E534" w14:textId="3EC842CE" w:rsidTr="00041556">
        <w:trPr>
          <w:jc w:val="center"/>
        </w:trPr>
        <w:tc>
          <w:tcPr>
            <w:tcW w:w="1082" w:type="dxa"/>
            <w:vMerge/>
            <w:vAlign w:val="center"/>
          </w:tcPr>
          <w:p w14:paraId="37CFEDB9" w14:textId="1E674BBC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</w:p>
        </w:tc>
        <w:tc>
          <w:tcPr>
            <w:tcW w:w="922" w:type="dxa"/>
            <w:vAlign w:val="center"/>
          </w:tcPr>
          <w:p w14:paraId="3EDFAB13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14</w:t>
            </w:r>
          </w:p>
        </w:tc>
        <w:tc>
          <w:tcPr>
            <w:tcW w:w="1415" w:type="dxa"/>
            <w:vAlign w:val="center"/>
          </w:tcPr>
          <w:p w14:paraId="25B2BBB7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0,0010000</w:t>
            </w:r>
          </w:p>
        </w:tc>
        <w:tc>
          <w:tcPr>
            <w:tcW w:w="1349" w:type="dxa"/>
          </w:tcPr>
          <w:p w14:paraId="54D81DB7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2,00%</w:t>
            </w:r>
          </w:p>
        </w:tc>
        <w:tc>
          <w:tcPr>
            <w:tcW w:w="1441" w:type="dxa"/>
          </w:tcPr>
          <w:p w14:paraId="367442CE" w14:textId="07DA644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480,652</w:t>
            </w:r>
          </w:p>
        </w:tc>
        <w:tc>
          <w:tcPr>
            <w:tcW w:w="1697" w:type="dxa"/>
          </w:tcPr>
          <w:p w14:paraId="743E4D66" w14:textId="6952C40F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3.362.613</w:t>
            </w:r>
          </w:p>
        </w:tc>
        <w:tc>
          <w:tcPr>
            <w:tcW w:w="1336" w:type="dxa"/>
          </w:tcPr>
          <w:p w14:paraId="23B7B154" w14:textId="38EDDF8B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50,46</w:t>
            </w:r>
          </w:p>
        </w:tc>
      </w:tr>
      <w:tr w:rsidR="00041556" w:rsidRPr="00DB48F0" w14:paraId="77C56908" w14:textId="591AAAD9" w:rsidTr="00041556">
        <w:trPr>
          <w:jc w:val="center"/>
        </w:trPr>
        <w:tc>
          <w:tcPr>
            <w:tcW w:w="1082" w:type="dxa"/>
            <w:vMerge/>
            <w:vAlign w:val="center"/>
          </w:tcPr>
          <w:p w14:paraId="447DA8B3" w14:textId="7BD12656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</w:p>
        </w:tc>
        <w:tc>
          <w:tcPr>
            <w:tcW w:w="922" w:type="dxa"/>
            <w:vAlign w:val="center"/>
          </w:tcPr>
          <w:p w14:paraId="23BDA656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15</w:t>
            </w:r>
          </w:p>
        </w:tc>
        <w:tc>
          <w:tcPr>
            <w:tcW w:w="1415" w:type="dxa"/>
            <w:vAlign w:val="center"/>
          </w:tcPr>
          <w:p w14:paraId="3DA2EA6A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0,0010000</w:t>
            </w:r>
          </w:p>
        </w:tc>
        <w:tc>
          <w:tcPr>
            <w:tcW w:w="1349" w:type="dxa"/>
          </w:tcPr>
          <w:p w14:paraId="2E07AEB0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2,00%</w:t>
            </w:r>
          </w:p>
        </w:tc>
        <w:tc>
          <w:tcPr>
            <w:tcW w:w="1441" w:type="dxa"/>
          </w:tcPr>
          <w:p w14:paraId="4B350A33" w14:textId="260CF360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480,652</w:t>
            </w:r>
          </w:p>
        </w:tc>
        <w:tc>
          <w:tcPr>
            <w:tcW w:w="1697" w:type="dxa"/>
          </w:tcPr>
          <w:p w14:paraId="5D64163E" w14:textId="389896E8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3.362.613</w:t>
            </w:r>
          </w:p>
        </w:tc>
        <w:tc>
          <w:tcPr>
            <w:tcW w:w="1336" w:type="dxa"/>
          </w:tcPr>
          <w:p w14:paraId="6F191DAC" w14:textId="0D830141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50,46</w:t>
            </w:r>
          </w:p>
        </w:tc>
      </w:tr>
      <w:tr w:rsidR="00041556" w:rsidRPr="00DB48F0" w14:paraId="37CF788C" w14:textId="31943D55" w:rsidTr="00041556">
        <w:trPr>
          <w:jc w:val="center"/>
        </w:trPr>
        <w:tc>
          <w:tcPr>
            <w:tcW w:w="1082" w:type="dxa"/>
            <w:vMerge/>
            <w:vAlign w:val="center"/>
          </w:tcPr>
          <w:p w14:paraId="6B5B429A" w14:textId="21B8B68B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</w:p>
        </w:tc>
        <w:tc>
          <w:tcPr>
            <w:tcW w:w="922" w:type="dxa"/>
            <w:vAlign w:val="center"/>
          </w:tcPr>
          <w:p w14:paraId="271700F6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16</w:t>
            </w:r>
          </w:p>
        </w:tc>
        <w:tc>
          <w:tcPr>
            <w:tcW w:w="1415" w:type="dxa"/>
            <w:vAlign w:val="center"/>
          </w:tcPr>
          <w:p w14:paraId="388CB050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0,0010000</w:t>
            </w:r>
          </w:p>
        </w:tc>
        <w:tc>
          <w:tcPr>
            <w:tcW w:w="1349" w:type="dxa"/>
          </w:tcPr>
          <w:p w14:paraId="0854C9D4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2,00%</w:t>
            </w:r>
          </w:p>
        </w:tc>
        <w:tc>
          <w:tcPr>
            <w:tcW w:w="1441" w:type="dxa"/>
          </w:tcPr>
          <w:p w14:paraId="297DCE58" w14:textId="5CFD12D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480,652</w:t>
            </w:r>
          </w:p>
        </w:tc>
        <w:tc>
          <w:tcPr>
            <w:tcW w:w="1697" w:type="dxa"/>
          </w:tcPr>
          <w:p w14:paraId="60001C8C" w14:textId="749D075B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3.362.613</w:t>
            </w:r>
          </w:p>
        </w:tc>
        <w:tc>
          <w:tcPr>
            <w:tcW w:w="1336" w:type="dxa"/>
          </w:tcPr>
          <w:p w14:paraId="1F01A472" w14:textId="1CC2253B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50,46</w:t>
            </w:r>
          </w:p>
        </w:tc>
      </w:tr>
      <w:tr w:rsidR="00041556" w:rsidRPr="00DB48F0" w14:paraId="07E27934" w14:textId="1D0E7698" w:rsidTr="00041556">
        <w:trPr>
          <w:jc w:val="center"/>
        </w:trPr>
        <w:tc>
          <w:tcPr>
            <w:tcW w:w="1082" w:type="dxa"/>
            <w:vMerge/>
            <w:vAlign w:val="center"/>
          </w:tcPr>
          <w:p w14:paraId="2D5064FB" w14:textId="463FAB5E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</w:p>
        </w:tc>
        <w:tc>
          <w:tcPr>
            <w:tcW w:w="922" w:type="dxa"/>
            <w:vAlign w:val="center"/>
          </w:tcPr>
          <w:p w14:paraId="003ECE06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17</w:t>
            </w:r>
          </w:p>
        </w:tc>
        <w:tc>
          <w:tcPr>
            <w:tcW w:w="1415" w:type="dxa"/>
            <w:vAlign w:val="center"/>
          </w:tcPr>
          <w:p w14:paraId="047271AF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0,0010000</w:t>
            </w:r>
          </w:p>
        </w:tc>
        <w:tc>
          <w:tcPr>
            <w:tcW w:w="1349" w:type="dxa"/>
          </w:tcPr>
          <w:p w14:paraId="357FEE37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2,00%</w:t>
            </w:r>
          </w:p>
        </w:tc>
        <w:tc>
          <w:tcPr>
            <w:tcW w:w="1441" w:type="dxa"/>
          </w:tcPr>
          <w:p w14:paraId="76D40561" w14:textId="29A386CB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480,652</w:t>
            </w:r>
          </w:p>
        </w:tc>
        <w:tc>
          <w:tcPr>
            <w:tcW w:w="1697" w:type="dxa"/>
          </w:tcPr>
          <w:p w14:paraId="567A6FE0" w14:textId="46FC263F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3.362.613</w:t>
            </w:r>
          </w:p>
        </w:tc>
        <w:tc>
          <w:tcPr>
            <w:tcW w:w="1336" w:type="dxa"/>
          </w:tcPr>
          <w:p w14:paraId="4EE85C24" w14:textId="01AF78E8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50,46</w:t>
            </w:r>
          </w:p>
        </w:tc>
      </w:tr>
      <w:tr w:rsidR="00041556" w:rsidRPr="00DB48F0" w14:paraId="5074CAD3" w14:textId="4323B063" w:rsidTr="00041556">
        <w:trPr>
          <w:jc w:val="center"/>
        </w:trPr>
        <w:tc>
          <w:tcPr>
            <w:tcW w:w="1082" w:type="dxa"/>
            <w:vMerge/>
            <w:vAlign w:val="center"/>
          </w:tcPr>
          <w:p w14:paraId="16507C96" w14:textId="139E09D2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</w:p>
        </w:tc>
        <w:tc>
          <w:tcPr>
            <w:tcW w:w="922" w:type="dxa"/>
            <w:vAlign w:val="center"/>
          </w:tcPr>
          <w:p w14:paraId="28C83EEA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18</w:t>
            </w:r>
          </w:p>
        </w:tc>
        <w:tc>
          <w:tcPr>
            <w:tcW w:w="1415" w:type="dxa"/>
            <w:vAlign w:val="center"/>
          </w:tcPr>
          <w:p w14:paraId="2522683B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0,0010000</w:t>
            </w:r>
          </w:p>
        </w:tc>
        <w:tc>
          <w:tcPr>
            <w:tcW w:w="1349" w:type="dxa"/>
          </w:tcPr>
          <w:p w14:paraId="34057561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2,00%</w:t>
            </w:r>
          </w:p>
        </w:tc>
        <w:tc>
          <w:tcPr>
            <w:tcW w:w="1441" w:type="dxa"/>
          </w:tcPr>
          <w:p w14:paraId="1705709A" w14:textId="6B9DAC19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480,652</w:t>
            </w:r>
          </w:p>
        </w:tc>
        <w:tc>
          <w:tcPr>
            <w:tcW w:w="1697" w:type="dxa"/>
          </w:tcPr>
          <w:p w14:paraId="7DE7679C" w14:textId="2740D1FD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3.362.613</w:t>
            </w:r>
          </w:p>
        </w:tc>
        <w:tc>
          <w:tcPr>
            <w:tcW w:w="1336" w:type="dxa"/>
          </w:tcPr>
          <w:p w14:paraId="4B32A19A" w14:textId="2019AECC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50,46</w:t>
            </w:r>
          </w:p>
        </w:tc>
      </w:tr>
      <w:tr w:rsidR="00041556" w:rsidRPr="00DB48F0" w14:paraId="7C0BB80C" w14:textId="706E7067" w:rsidTr="00041556">
        <w:trPr>
          <w:jc w:val="center"/>
        </w:trPr>
        <w:tc>
          <w:tcPr>
            <w:tcW w:w="1082" w:type="dxa"/>
            <w:vMerge/>
            <w:vAlign w:val="center"/>
          </w:tcPr>
          <w:p w14:paraId="2B95F086" w14:textId="30EB7A82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</w:p>
        </w:tc>
        <w:tc>
          <w:tcPr>
            <w:tcW w:w="922" w:type="dxa"/>
            <w:vAlign w:val="center"/>
          </w:tcPr>
          <w:p w14:paraId="3238FF6D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19</w:t>
            </w:r>
          </w:p>
        </w:tc>
        <w:tc>
          <w:tcPr>
            <w:tcW w:w="1415" w:type="dxa"/>
            <w:vAlign w:val="center"/>
          </w:tcPr>
          <w:p w14:paraId="4FABBBA8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0,0010000</w:t>
            </w:r>
          </w:p>
        </w:tc>
        <w:tc>
          <w:tcPr>
            <w:tcW w:w="1349" w:type="dxa"/>
          </w:tcPr>
          <w:p w14:paraId="0A4B0BAE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2,00%</w:t>
            </w:r>
          </w:p>
        </w:tc>
        <w:tc>
          <w:tcPr>
            <w:tcW w:w="1441" w:type="dxa"/>
          </w:tcPr>
          <w:p w14:paraId="6C78E8F7" w14:textId="625FB3A9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480,652</w:t>
            </w:r>
          </w:p>
        </w:tc>
        <w:tc>
          <w:tcPr>
            <w:tcW w:w="1697" w:type="dxa"/>
          </w:tcPr>
          <w:p w14:paraId="66EA72EF" w14:textId="1848014B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3.362.613</w:t>
            </w:r>
          </w:p>
        </w:tc>
        <w:tc>
          <w:tcPr>
            <w:tcW w:w="1336" w:type="dxa"/>
          </w:tcPr>
          <w:p w14:paraId="57DB08FE" w14:textId="7A86AF71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50,46</w:t>
            </w:r>
          </w:p>
        </w:tc>
      </w:tr>
      <w:tr w:rsidR="00041556" w:rsidRPr="00DB48F0" w14:paraId="6E6167B5" w14:textId="08F4CF92" w:rsidTr="00041556">
        <w:trPr>
          <w:jc w:val="center"/>
        </w:trPr>
        <w:tc>
          <w:tcPr>
            <w:tcW w:w="1082" w:type="dxa"/>
            <w:vMerge/>
            <w:vAlign w:val="center"/>
          </w:tcPr>
          <w:p w14:paraId="68A09A25" w14:textId="54C79010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</w:p>
        </w:tc>
        <w:tc>
          <w:tcPr>
            <w:tcW w:w="922" w:type="dxa"/>
            <w:vAlign w:val="center"/>
          </w:tcPr>
          <w:p w14:paraId="74466BF5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20</w:t>
            </w:r>
          </w:p>
        </w:tc>
        <w:tc>
          <w:tcPr>
            <w:tcW w:w="1415" w:type="dxa"/>
            <w:vAlign w:val="center"/>
          </w:tcPr>
          <w:p w14:paraId="4CA89322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0,0010000</w:t>
            </w:r>
          </w:p>
        </w:tc>
        <w:tc>
          <w:tcPr>
            <w:tcW w:w="1349" w:type="dxa"/>
          </w:tcPr>
          <w:p w14:paraId="7A216660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2,00%</w:t>
            </w:r>
          </w:p>
        </w:tc>
        <w:tc>
          <w:tcPr>
            <w:tcW w:w="1441" w:type="dxa"/>
          </w:tcPr>
          <w:p w14:paraId="6E154C3A" w14:textId="1A79C854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480,652</w:t>
            </w:r>
          </w:p>
        </w:tc>
        <w:tc>
          <w:tcPr>
            <w:tcW w:w="1697" w:type="dxa"/>
          </w:tcPr>
          <w:p w14:paraId="2813E682" w14:textId="20477A62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3.362.613</w:t>
            </w:r>
          </w:p>
        </w:tc>
        <w:tc>
          <w:tcPr>
            <w:tcW w:w="1336" w:type="dxa"/>
          </w:tcPr>
          <w:p w14:paraId="32CBB89B" w14:textId="2D1E35CD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50,46</w:t>
            </w:r>
          </w:p>
        </w:tc>
      </w:tr>
      <w:tr w:rsidR="00041556" w:rsidRPr="00DB48F0" w14:paraId="42D3A829" w14:textId="4C75DE5C" w:rsidTr="00041556">
        <w:trPr>
          <w:jc w:val="center"/>
        </w:trPr>
        <w:tc>
          <w:tcPr>
            <w:tcW w:w="1082" w:type="dxa"/>
            <w:vMerge/>
            <w:vAlign w:val="center"/>
          </w:tcPr>
          <w:p w14:paraId="29D48E41" w14:textId="06EE908E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</w:p>
        </w:tc>
        <w:tc>
          <w:tcPr>
            <w:tcW w:w="922" w:type="dxa"/>
            <w:vAlign w:val="center"/>
          </w:tcPr>
          <w:p w14:paraId="5A62250F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24</w:t>
            </w:r>
          </w:p>
        </w:tc>
        <w:tc>
          <w:tcPr>
            <w:tcW w:w="1415" w:type="dxa"/>
            <w:vAlign w:val="center"/>
          </w:tcPr>
          <w:p w14:paraId="02349B4D" w14:textId="67EA4F81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0,001</w:t>
            </w:r>
            <w:r>
              <w:rPr>
                <w:rFonts w:ascii="gobCL" w:hAnsi="gobCL"/>
                <w:sz w:val="18"/>
                <w:szCs w:val="22"/>
              </w:rPr>
              <w:t>5</w:t>
            </w:r>
            <w:r w:rsidRPr="00DB48F0">
              <w:rPr>
                <w:rFonts w:ascii="gobCL" w:hAnsi="gobCL"/>
                <w:sz w:val="18"/>
                <w:szCs w:val="22"/>
              </w:rPr>
              <w:t>000</w:t>
            </w:r>
          </w:p>
        </w:tc>
        <w:tc>
          <w:tcPr>
            <w:tcW w:w="1349" w:type="dxa"/>
            <w:vAlign w:val="center"/>
          </w:tcPr>
          <w:p w14:paraId="37368D33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3,00%</w:t>
            </w:r>
          </w:p>
        </w:tc>
        <w:tc>
          <w:tcPr>
            <w:tcW w:w="1441" w:type="dxa"/>
          </w:tcPr>
          <w:p w14:paraId="05894E63" w14:textId="6085553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720,978</w:t>
            </w:r>
          </w:p>
        </w:tc>
        <w:tc>
          <w:tcPr>
            <w:tcW w:w="1697" w:type="dxa"/>
          </w:tcPr>
          <w:p w14:paraId="026A10EA" w14:textId="397941E4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5.043.919</w:t>
            </w:r>
          </w:p>
        </w:tc>
        <w:tc>
          <w:tcPr>
            <w:tcW w:w="1336" w:type="dxa"/>
          </w:tcPr>
          <w:p w14:paraId="60E05745" w14:textId="164999BB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75,7</w:t>
            </w:r>
          </w:p>
        </w:tc>
      </w:tr>
      <w:tr w:rsidR="00041556" w14:paraId="2CE8FEAD" w14:textId="1980E8D5" w:rsidTr="00041556">
        <w:tblPrEx>
          <w:jc w:val="left"/>
        </w:tblPrEx>
        <w:tc>
          <w:tcPr>
            <w:tcW w:w="1082" w:type="dxa"/>
            <w:vMerge/>
          </w:tcPr>
          <w:p w14:paraId="655199D4" w14:textId="031798B0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</w:p>
        </w:tc>
        <w:tc>
          <w:tcPr>
            <w:tcW w:w="922" w:type="dxa"/>
          </w:tcPr>
          <w:p w14:paraId="0687544D" w14:textId="7CD08533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</w:t>
            </w:r>
            <w:r>
              <w:rPr>
                <w:rFonts w:ascii="gobCL" w:hAnsi="gobCL"/>
                <w:sz w:val="18"/>
                <w:szCs w:val="22"/>
              </w:rPr>
              <w:t>6</w:t>
            </w:r>
          </w:p>
        </w:tc>
        <w:tc>
          <w:tcPr>
            <w:tcW w:w="1415" w:type="dxa"/>
          </w:tcPr>
          <w:p w14:paraId="10B9D23C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0,0015000</w:t>
            </w:r>
          </w:p>
        </w:tc>
        <w:tc>
          <w:tcPr>
            <w:tcW w:w="1349" w:type="dxa"/>
          </w:tcPr>
          <w:p w14:paraId="43C30D7B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3,00%</w:t>
            </w:r>
          </w:p>
        </w:tc>
        <w:tc>
          <w:tcPr>
            <w:tcW w:w="1441" w:type="dxa"/>
          </w:tcPr>
          <w:p w14:paraId="75B8CE1F" w14:textId="36673B52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720,978</w:t>
            </w:r>
          </w:p>
        </w:tc>
        <w:tc>
          <w:tcPr>
            <w:tcW w:w="1697" w:type="dxa"/>
          </w:tcPr>
          <w:p w14:paraId="375FF6EF" w14:textId="1DF8BFFC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5.043.919</w:t>
            </w:r>
          </w:p>
        </w:tc>
        <w:tc>
          <w:tcPr>
            <w:tcW w:w="1336" w:type="dxa"/>
          </w:tcPr>
          <w:p w14:paraId="0170E30A" w14:textId="2CA51894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75,7</w:t>
            </w:r>
          </w:p>
        </w:tc>
      </w:tr>
      <w:tr w:rsidR="00041556" w14:paraId="5FCFFCCC" w14:textId="62C297D3" w:rsidTr="00041556">
        <w:tblPrEx>
          <w:jc w:val="left"/>
        </w:tblPrEx>
        <w:tc>
          <w:tcPr>
            <w:tcW w:w="1082" w:type="dxa"/>
            <w:vMerge/>
          </w:tcPr>
          <w:p w14:paraId="017F0845" w14:textId="3B49444C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</w:p>
        </w:tc>
        <w:tc>
          <w:tcPr>
            <w:tcW w:w="922" w:type="dxa"/>
          </w:tcPr>
          <w:p w14:paraId="016CF53E" w14:textId="2EB8FAF5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</w:t>
            </w:r>
            <w:r>
              <w:rPr>
                <w:rFonts w:ascii="gobCL" w:hAnsi="gobCL"/>
                <w:sz w:val="18"/>
                <w:szCs w:val="22"/>
              </w:rPr>
              <w:t>7</w:t>
            </w:r>
          </w:p>
        </w:tc>
        <w:tc>
          <w:tcPr>
            <w:tcW w:w="1415" w:type="dxa"/>
          </w:tcPr>
          <w:p w14:paraId="4C090B83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0,0015000</w:t>
            </w:r>
          </w:p>
        </w:tc>
        <w:tc>
          <w:tcPr>
            <w:tcW w:w="1349" w:type="dxa"/>
          </w:tcPr>
          <w:p w14:paraId="120B8A94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3,00%</w:t>
            </w:r>
          </w:p>
        </w:tc>
        <w:tc>
          <w:tcPr>
            <w:tcW w:w="1441" w:type="dxa"/>
          </w:tcPr>
          <w:p w14:paraId="1F80129E" w14:textId="029B6AD9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720,978</w:t>
            </w:r>
          </w:p>
        </w:tc>
        <w:tc>
          <w:tcPr>
            <w:tcW w:w="1697" w:type="dxa"/>
          </w:tcPr>
          <w:p w14:paraId="12E66958" w14:textId="0D89181F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5.043.919</w:t>
            </w:r>
          </w:p>
        </w:tc>
        <w:tc>
          <w:tcPr>
            <w:tcW w:w="1336" w:type="dxa"/>
          </w:tcPr>
          <w:p w14:paraId="5E476566" w14:textId="449400CE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75,7</w:t>
            </w:r>
          </w:p>
        </w:tc>
      </w:tr>
      <w:tr w:rsidR="00041556" w14:paraId="731A0372" w14:textId="7409E6FF" w:rsidTr="00041556">
        <w:tblPrEx>
          <w:jc w:val="left"/>
        </w:tblPrEx>
        <w:tc>
          <w:tcPr>
            <w:tcW w:w="1082" w:type="dxa"/>
            <w:vMerge/>
          </w:tcPr>
          <w:p w14:paraId="4921FE51" w14:textId="04CDDF79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</w:p>
        </w:tc>
        <w:tc>
          <w:tcPr>
            <w:tcW w:w="922" w:type="dxa"/>
          </w:tcPr>
          <w:p w14:paraId="38264BF5" w14:textId="18A2A09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</w:t>
            </w:r>
            <w:r>
              <w:rPr>
                <w:rFonts w:ascii="gobCL" w:hAnsi="gobCL"/>
                <w:sz w:val="18"/>
                <w:szCs w:val="22"/>
              </w:rPr>
              <w:t>8</w:t>
            </w:r>
          </w:p>
        </w:tc>
        <w:tc>
          <w:tcPr>
            <w:tcW w:w="1415" w:type="dxa"/>
          </w:tcPr>
          <w:p w14:paraId="303CCA60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0,0015000</w:t>
            </w:r>
          </w:p>
        </w:tc>
        <w:tc>
          <w:tcPr>
            <w:tcW w:w="1349" w:type="dxa"/>
          </w:tcPr>
          <w:p w14:paraId="272C8C95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3,00%</w:t>
            </w:r>
          </w:p>
        </w:tc>
        <w:tc>
          <w:tcPr>
            <w:tcW w:w="1441" w:type="dxa"/>
          </w:tcPr>
          <w:p w14:paraId="16A82C17" w14:textId="123685EA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720,978</w:t>
            </w:r>
          </w:p>
        </w:tc>
        <w:tc>
          <w:tcPr>
            <w:tcW w:w="1697" w:type="dxa"/>
          </w:tcPr>
          <w:p w14:paraId="1825A6BD" w14:textId="594396B8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5.043.919</w:t>
            </w:r>
          </w:p>
        </w:tc>
        <w:tc>
          <w:tcPr>
            <w:tcW w:w="1336" w:type="dxa"/>
          </w:tcPr>
          <w:p w14:paraId="3AEFC8E3" w14:textId="61422F80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75,7</w:t>
            </w:r>
          </w:p>
        </w:tc>
      </w:tr>
      <w:tr w:rsidR="00041556" w14:paraId="32E4E2F1" w14:textId="1BFA76DF" w:rsidTr="00041556">
        <w:tblPrEx>
          <w:jc w:val="left"/>
        </w:tblPrEx>
        <w:tc>
          <w:tcPr>
            <w:tcW w:w="1082" w:type="dxa"/>
            <w:vMerge/>
          </w:tcPr>
          <w:p w14:paraId="48032C04" w14:textId="6902D07D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</w:p>
        </w:tc>
        <w:tc>
          <w:tcPr>
            <w:tcW w:w="922" w:type="dxa"/>
          </w:tcPr>
          <w:p w14:paraId="3CBC7C2E" w14:textId="7E700473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2</w:t>
            </w:r>
            <w:r>
              <w:rPr>
                <w:rFonts w:ascii="gobCL" w:hAnsi="gobCL"/>
                <w:sz w:val="18"/>
                <w:szCs w:val="22"/>
              </w:rPr>
              <w:t>9</w:t>
            </w:r>
          </w:p>
        </w:tc>
        <w:tc>
          <w:tcPr>
            <w:tcW w:w="1415" w:type="dxa"/>
          </w:tcPr>
          <w:p w14:paraId="25F4CBAD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0,0015000</w:t>
            </w:r>
          </w:p>
        </w:tc>
        <w:tc>
          <w:tcPr>
            <w:tcW w:w="1349" w:type="dxa"/>
          </w:tcPr>
          <w:p w14:paraId="3B3672F5" w14:textId="77777777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DB48F0">
              <w:rPr>
                <w:rFonts w:ascii="gobCL" w:hAnsi="gobCL"/>
                <w:sz w:val="18"/>
                <w:szCs w:val="22"/>
              </w:rPr>
              <w:t>3,00%</w:t>
            </w:r>
          </w:p>
        </w:tc>
        <w:tc>
          <w:tcPr>
            <w:tcW w:w="1441" w:type="dxa"/>
          </w:tcPr>
          <w:p w14:paraId="1D87491D" w14:textId="033497A9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720,978</w:t>
            </w:r>
          </w:p>
        </w:tc>
        <w:tc>
          <w:tcPr>
            <w:tcW w:w="1697" w:type="dxa"/>
          </w:tcPr>
          <w:p w14:paraId="2DB23517" w14:textId="1AE4D981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5.043.919</w:t>
            </w:r>
          </w:p>
        </w:tc>
        <w:tc>
          <w:tcPr>
            <w:tcW w:w="1336" w:type="dxa"/>
          </w:tcPr>
          <w:p w14:paraId="72AF0AA5" w14:textId="2FE44360" w:rsidR="00041556" w:rsidRPr="00DB48F0" w:rsidRDefault="00041556" w:rsidP="00041556">
            <w:pPr>
              <w:pStyle w:val="Textoindependiente"/>
              <w:jc w:val="right"/>
              <w:rPr>
                <w:rFonts w:ascii="gobCL" w:hAnsi="gobCL"/>
                <w:sz w:val="18"/>
                <w:szCs w:val="22"/>
              </w:rPr>
            </w:pPr>
            <w:r w:rsidRPr="00041556">
              <w:rPr>
                <w:rFonts w:ascii="gobCL" w:hAnsi="gobCL"/>
                <w:sz w:val="18"/>
                <w:szCs w:val="22"/>
              </w:rPr>
              <w:t>75,7</w:t>
            </w:r>
          </w:p>
        </w:tc>
      </w:tr>
    </w:tbl>
    <w:p w14:paraId="40AFEE06" w14:textId="77777777" w:rsidR="003C5852" w:rsidRDefault="003C5852" w:rsidP="00657E31">
      <w:pPr>
        <w:jc w:val="center"/>
        <w:rPr>
          <w:rFonts w:ascii="gobCL" w:hAnsi="gobCL"/>
          <w:sz w:val="20"/>
        </w:rPr>
      </w:pPr>
    </w:p>
    <w:p w14:paraId="7E519E4E" w14:textId="77777777" w:rsidR="00572F13" w:rsidRDefault="00572F13" w:rsidP="00657E31">
      <w:pPr>
        <w:jc w:val="center"/>
        <w:rPr>
          <w:rFonts w:ascii="gobCL" w:hAnsi="gobCL"/>
          <w:sz w:val="20"/>
        </w:rPr>
      </w:pPr>
    </w:p>
    <w:p w14:paraId="028BB76C" w14:textId="21A9E9B1" w:rsidR="00572F13" w:rsidRPr="005869B5" w:rsidRDefault="00572F13" w:rsidP="00572F13">
      <w:pPr>
        <w:pStyle w:val="Textoindependiente"/>
        <w:rPr>
          <w:rFonts w:ascii="gobCL" w:hAnsi="gobCL"/>
          <w:bCs/>
        </w:rPr>
      </w:pPr>
      <w:r w:rsidRPr="005869B5">
        <w:rPr>
          <w:rFonts w:ascii="gobCL" w:hAnsi="gobCL"/>
          <w:bCs/>
        </w:rPr>
        <w:t xml:space="preserve">El precio mínimo de la oferta para </w:t>
      </w:r>
      <w:r>
        <w:rPr>
          <w:rFonts w:ascii="gobCL" w:hAnsi="gobCL"/>
          <w:bCs/>
        </w:rPr>
        <w:t xml:space="preserve">anchoveta </w:t>
      </w:r>
      <w:proofErr w:type="spellStart"/>
      <w:r>
        <w:rPr>
          <w:rFonts w:ascii="gobCL" w:hAnsi="gobCL"/>
          <w:bCs/>
        </w:rPr>
        <w:t>AyP</w:t>
      </w:r>
      <w:proofErr w:type="spellEnd"/>
      <w:r>
        <w:rPr>
          <w:rFonts w:ascii="gobCL" w:hAnsi="gobCL"/>
          <w:bCs/>
        </w:rPr>
        <w:t xml:space="preserve"> - ANTOF</w:t>
      </w:r>
      <w:r w:rsidRPr="005869B5">
        <w:rPr>
          <w:rFonts w:ascii="gobCL" w:hAnsi="gobCL"/>
          <w:bCs/>
        </w:rPr>
        <w:t xml:space="preserve"> se calculó de la siguiente manera:</w:t>
      </w:r>
    </w:p>
    <w:p w14:paraId="450862F5" w14:textId="38C113A3" w:rsidR="00572F13" w:rsidRPr="005869B5" w:rsidRDefault="00572F13" w:rsidP="00572F13">
      <w:pPr>
        <w:pStyle w:val="Textoindependiente"/>
        <w:rPr>
          <w:rFonts w:ascii="gobCL" w:hAnsi="gobCL"/>
          <w:bCs/>
        </w:rPr>
      </w:pPr>
      <w:r w:rsidRPr="005869B5">
        <w:rPr>
          <w:rFonts w:ascii="gobCL" w:hAnsi="gobCL"/>
          <w:bCs/>
        </w:rPr>
        <w:t xml:space="preserve">Precio mínimo = (Toneladas a subastar) * (VS </w:t>
      </w:r>
      <w:r>
        <w:rPr>
          <w:rFonts w:ascii="gobCL" w:hAnsi="gobCL"/>
          <w:bCs/>
          <w:vertAlign w:val="subscript"/>
        </w:rPr>
        <w:t>anchoveta</w:t>
      </w:r>
      <w:r w:rsidRPr="005869B5">
        <w:rPr>
          <w:rFonts w:ascii="gobCL" w:hAnsi="gobCL"/>
          <w:bCs/>
        </w:rPr>
        <w:t>) * (UTM</w:t>
      </w:r>
      <w:r w:rsidRPr="005869B5">
        <w:rPr>
          <w:rFonts w:ascii="gobCL" w:hAnsi="gobCL"/>
          <w:bCs/>
          <w:vertAlign w:val="subscript"/>
        </w:rPr>
        <w:t>noviembre202</w:t>
      </w:r>
      <w:r>
        <w:rPr>
          <w:rFonts w:ascii="gobCL" w:hAnsi="gobCL"/>
          <w:bCs/>
          <w:vertAlign w:val="subscript"/>
        </w:rPr>
        <w:t>4</w:t>
      </w:r>
      <w:r w:rsidRPr="005869B5">
        <w:rPr>
          <w:rFonts w:ascii="gobCL" w:hAnsi="gobCL"/>
          <w:bCs/>
        </w:rPr>
        <w:t xml:space="preserve">) * 4,2% </w:t>
      </w:r>
    </w:p>
    <w:p w14:paraId="56A08A1F" w14:textId="3C8300DC" w:rsidR="00572F13" w:rsidRPr="005869B5" w:rsidRDefault="00572F13" w:rsidP="00572F13">
      <w:pPr>
        <w:pStyle w:val="Textonotapie"/>
        <w:numPr>
          <w:ilvl w:val="0"/>
          <w:numId w:val="41"/>
        </w:numPr>
        <w:jc w:val="both"/>
        <w:rPr>
          <w:rFonts w:ascii="gobCL" w:hAnsi="gobCL"/>
        </w:rPr>
      </w:pPr>
      <w:r w:rsidRPr="005869B5">
        <w:rPr>
          <w:rFonts w:ascii="gobCL" w:hAnsi="gobCL"/>
        </w:rPr>
        <w:t xml:space="preserve">Valor sanción fijado en D. Ex. </w:t>
      </w:r>
      <w:proofErr w:type="spellStart"/>
      <w:r w:rsidRPr="005869B5">
        <w:rPr>
          <w:rFonts w:ascii="gobCL" w:hAnsi="gobCL"/>
        </w:rPr>
        <w:t>Nº</w:t>
      </w:r>
      <w:proofErr w:type="spellEnd"/>
      <w:r w:rsidRPr="005869B5">
        <w:rPr>
          <w:rFonts w:ascii="gobCL" w:hAnsi="gobCL"/>
        </w:rPr>
        <w:t xml:space="preserve"> </w:t>
      </w:r>
      <w:r>
        <w:rPr>
          <w:rFonts w:ascii="gobCL" w:hAnsi="gobCL"/>
        </w:rPr>
        <w:t>147</w:t>
      </w:r>
      <w:r w:rsidRPr="005869B5">
        <w:rPr>
          <w:rFonts w:ascii="gobCL" w:hAnsi="gobCL"/>
        </w:rPr>
        <w:t>/202</w:t>
      </w:r>
      <w:r>
        <w:rPr>
          <w:rFonts w:ascii="gobCL" w:hAnsi="gobCL"/>
        </w:rPr>
        <w:t>3</w:t>
      </w:r>
      <w:r w:rsidRPr="005869B5">
        <w:rPr>
          <w:rFonts w:ascii="gobCL" w:hAnsi="gobCL"/>
        </w:rPr>
        <w:t xml:space="preserve"> para </w:t>
      </w:r>
      <w:r>
        <w:rPr>
          <w:rFonts w:ascii="gobCL" w:hAnsi="gobCL"/>
        </w:rPr>
        <w:t>anchoveta</w:t>
      </w:r>
      <w:r w:rsidRPr="005869B5">
        <w:rPr>
          <w:rFonts w:ascii="gobCL" w:hAnsi="gobCL"/>
        </w:rPr>
        <w:t xml:space="preserve"> es de 2,5 UTM/t, considerando el valor de UTM de noviembre de = $ 6</w:t>
      </w:r>
      <w:r>
        <w:rPr>
          <w:rFonts w:ascii="gobCL" w:hAnsi="gobCL"/>
        </w:rPr>
        <w:t>6.628</w:t>
      </w:r>
      <w:r w:rsidRPr="005869B5">
        <w:rPr>
          <w:rFonts w:ascii="gobCL" w:hAnsi="gobCL"/>
        </w:rPr>
        <w:t>, del mes de noviembre del año 202</w:t>
      </w:r>
      <w:r>
        <w:rPr>
          <w:rFonts w:ascii="gobCL" w:hAnsi="gobCL"/>
        </w:rPr>
        <w:t>4</w:t>
      </w:r>
      <w:r w:rsidRPr="005869B5">
        <w:rPr>
          <w:rFonts w:ascii="gobCL" w:hAnsi="gobCL"/>
        </w:rPr>
        <w:t>, según SII.</w:t>
      </w:r>
    </w:p>
    <w:p w14:paraId="67DFA6CB" w14:textId="77777777" w:rsidR="00572F13" w:rsidRPr="005869B5" w:rsidRDefault="00572F13" w:rsidP="00572F13">
      <w:pPr>
        <w:pStyle w:val="Textonotapie"/>
        <w:numPr>
          <w:ilvl w:val="0"/>
          <w:numId w:val="41"/>
        </w:numPr>
        <w:jc w:val="both"/>
        <w:rPr>
          <w:rFonts w:ascii="gobCL" w:hAnsi="gobCL"/>
          <w:bCs/>
        </w:rPr>
      </w:pPr>
      <w:r w:rsidRPr="005869B5">
        <w:rPr>
          <w:rFonts w:ascii="gobCL" w:hAnsi="gobCL"/>
        </w:rPr>
        <w:t>Aproximado</w:t>
      </w:r>
      <w:r w:rsidRPr="005869B5">
        <w:rPr>
          <w:rFonts w:ascii="gobCL" w:hAnsi="gobCL"/>
          <w:lang w:val="es-CL"/>
        </w:rPr>
        <w:t xml:space="preserve"> al segundo decimal </w:t>
      </w:r>
      <w:proofErr w:type="gramStart"/>
      <w:r w:rsidRPr="005869B5">
        <w:rPr>
          <w:rFonts w:ascii="gobCL" w:hAnsi="gobCL"/>
          <w:lang w:val="es-CL"/>
        </w:rPr>
        <w:t>de acuerdo a</w:t>
      </w:r>
      <w:proofErr w:type="gramEnd"/>
      <w:r w:rsidRPr="005869B5">
        <w:rPr>
          <w:rFonts w:ascii="gobCL" w:hAnsi="gobCL"/>
          <w:lang w:val="es-CL"/>
        </w:rPr>
        <w:t xml:space="preserve"> Ley del Redondeo, Ley 20.956.</w:t>
      </w:r>
    </w:p>
    <w:p w14:paraId="1FB57AB8" w14:textId="77777777" w:rsidR="00572F13" w:rsidRDefault="00572F13" w:rsidP="00657E31">
      <w:pPr>
        <w:jc w:val="center"/>
        <w:rPr>
          <w:rFonts w:ascii="gobCL" w:hAnsi="gobCL"/>
          <w:sz w:val="20"/>
          <w:szCs w:val="20"/>
        </w:rPr>
      </w:pPr>
    </w:p>
    <w:p w14:paraId="05954EA6" w14:textId="77777777" w:rsidR="00572F13" w:rsidRDefault="00572F13" w:rsidP="00657E31">
      <w:pPr>
        <w:jc w:val="center"/>
        <w:rPr>
          <w:rFonts w:ascii="gobCL" w:hAnsi="gobCL"/>
          <w:sz w:val="20"/>
          <w:szCs w:val="20"/>
        </w:rPr>
      </w:pPr>
    </w:p>
    <w:p w14:paraId="5C226959" w14:textId="2BE4DA3E" w:rsidR="003C5852" w:rsidRPr="002A5F1C" w:rsidRDefault="00D306C4" w:rsidP="00657E31">
      <w:pPr>
        <w:jc w:val="center"/>
        <w:rPr>
          <w:rFonts w:ascii="gobCL" w:hAnsi="gobCL"/>
          <w:bCs/>
          <w:sz w:val="20"/>
        </w:rPr>
      </w:pPr>
      <w:r w:rsidRPr="00A3229D">
        <w:rPr>
          <w:rFonts w:ascii="gobCL" w:hAnsi="gobCL"/>
          <w:sz w:val="20"/>
          <w:szCs w:val="20"/>
        </w:rPr>
        <w:t xml:space="preserve">Tabla </w:t>
      </w:r>
      <w:r w:rsidR="00E53652">
        <w:rPr>
          <w:rFonts w:ascii="gobCL" w:hAnsi="gobCL"/>
          <w:sz w:val="20"/>
          <w:szCs w:val="20"/>
        </w:rPr>
        <w:t>4</w:t>
      </w:r>
      <w:r w:rsidRPr="00A3229D">
        <w:rPr>
          <w:rFonts w:ascii="gobCL" w:hAnsi="gobCL"/>
          <w:sz w:val="20"/>
          <w:szCs w:val="20"/>
        </w:rPr>
        <w:t>. Lote a subastar, precio mínimo en $/lote y UTM/lote para</w:t>
      </w:r>
      <w:r w:rsidRPr="00A3229D">
        <w:rPr>
          <w:rFonts w:ascii="gobCL" w:hAnsi="gobCL"/>
        </w:rPr>
        <w:t xml:space="preserve"> </w:t>
      </w:r>
      <w:r>
        <w:rPr>
          <w:rFonts w:ascii="gobCL" w:hAnsi="gobCL"/>
          <w:sz w:val="20"/>
        </w:rPr>
        <w:t xml:space="preserve">merluza común </w:t>
      </w:r>
      <w:r w:rsidR="002A5F1C" w:rsidRPr="002A5F1C">
        <w:rPr>
          <w:rFonts w:ascii="gobCL" w:hAnsi="gobCL"/>
          <w:bCs/>
          <w:sz w:val="20"/>
        </w:rPr>
        <w:t>Coquimbo al paralelo 41° 28,6’ L.S.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1256"/>
        <w:gridCol w:w="1406"/>
        <w:gridCol w:w="1191"/>
        <w:gridCol w:w="1162"/>
        <w:gridCol w:w="1322"/>
        <w:gridCol w:w="1360"/>
      </w:tblGrid>
      <w:tr w:rsidR="005869B5" w:rsidRPr="006637F9" w14:paraId="4634850F" w14:textId="77777777" w:rsidTr="00332EAB">
        <w:trPr>
          <w:jc w:val="center"/>
        </w:trPr>
        <w:tc>
          <w:tcPr>
            <w:tcW w:w="1345" w:type="dxa"/>
            <w:vAlign w:val="center"/>
          </w:tcPr>
          <w:p w14:paraId="76D3B515" w14:textId="3C02FCC3" w:rsidR="005869B5" w:rsidRPr="006637F9" w:rsidRDefault="005869B5" w:rsidP="00D306C4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6637F9">
              <w:rPr>
                <w:rFonts w:ascii="gobCL" w:hAnsi="gobCL"/>
                <w:sz w:val="18"/>
                <w:szCs w:val="22"/>
              </w:rPr>
              <w:t>Tipo oferente</w:t>
            </w:r>
          </w:p>
        </w:tc>
        <w:tc>
          <w:tcPr>
            <w:tcW w:w="1256" w:type="dxa"/>
            <w:vAlign w:val="center"/>
          </w:tcPr>
          <w:p w14:paraId="32D6E8DB" w14:textId="59A78893" w:rsidR="005869B5" w:rsidRPr="006637F9" w:rsidRDefault="005869B5" w:rsidP="00D306C4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6637F9">
              <w:rPr>
                <w:rFonts w:ascii="gobCL" w:hAnsi="gobCL"/>
                <w:sz w:val="18"/>
                <w:szCs w:val="22"/>
              </w:rPr>
              <w:t>Lote</w:t>
            </w:r>
          </w:p>
        </w:tc>
        <w:tc>
          <w:tcPr>
            <w:tcW w:w="1406" w:type="dxa"/>
            <w:vAlign w:val="center"/>
          </w:tcPr>
          <w:p w14:paraId="79AFE7B5" w14:textId="0B2F510A" w:rsidR="005869B5" w:rsidRPr="006637F9" w:rsidRDefault="005869B5" w:rsidP="00D306C4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6637F9">
              <w:rPr>
                <w:rFonts w:ascii="gobCL" w:hAnsi="gobCL"/>
                <w:sz w:val="18"/>
                <w:szCs w:val="22"/>
              </w:rPr>
              <w:t>Coeficiente</w:t>
            </w:r>
          </w:p>
        </w:tc>
        <w:tc>
          <w:tcPr>
            <w:tcW w:w="1191" w:type="dxa"/>
            <w:vAlign w:val="center"/>
          </w:tcPr>
          <w:p w14:paraId="6C58F5E6" w14:textId="314493BF" w:rsidR="005869B5" w:rsidRPr="006637F9" w:rsidRDefault="005869B5" w:rsidP="00D306C4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6637F9">
              <w:rPr>
                <w:rFonts w:ascii="gobCL" w:hAnsi="gobCL"/>
                <w:sz w:val="18"/>
                <w:szCs w:val="22"/>
              </w:rPr>
              <w:t>Porcentaje</w:t>
            </w:r>
          </w:p>
        </w:tc>
        <w:tc>
          <w:tcPr>
            <w:tcW w:w="1162" w:type="dxa"/>
            <w:vAlign w:val="center"/>
          </w:tcPr>
          <w:p w14:paraId="7614693F" w14:textId="03D27F75" w:rsidR="005869B5" w:rsidRPr="005869B5" w:rsidRDefault="005869B5" w:rsidP="005869B5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>
              <w:rPr>
                <w:rFonts w:ascii="gobCL" w:hAnsi="gobCL"/>
                <w:sz w:val="18"/>
                <w:szCs w:val="22"/>
              </w:rPr>
              <w:t>Lote (t)</w:t>
            </w:r>
          </w:p>
        </w:tc>
        <w:tc>
          <w:tcPr>
            <w:tcW w:w="1322" w:type="dxa"/>
            <w:vAlign w:val="center"/>
          </w:tcPr>
          <w:p w14:paraId="2BDE6F2B" w14:textId="57872146" w:rsidR="005869B5" w:rsidRPr="005869B5" w:rsidRDefault="005869B5" w:rsidP="00D306C4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5869B5">
              <w:rPr>
                <w:rFonts w:ascii="gobCL" w:hAnsi="gobCL"/>
                <w:sz w:val="18"/>
                <w:szCs w:val="22"/>
              </w:rPr>
              <w:t>Precio mínimo ($/lote)</w:t>
            </w:r>
          </w:p>
        </w:tc>
        <w:tc>
          <w:tcPr>
            <w:tcW w:w="1360" w:type="dxa"/>
            <w:vAlign w:val="center"/>
          </w:tcPr>
          <w:p w14:paraId="0F5B8CC8" w14:textId="1C6CAEE7" w:rsidR="005869B5" w:rsidRPr="005869B5" w:rsidRDefault="005869B5" w:rsidP="00D306C4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5869B5">
              <w:rPr>
                <w:rFonts w:ascii="gobCL" w:hAnsi="gobCL"/>
                <w:sz w:val="18"/>
                <w:szCs w:val="22"/>
              </w:rPr>
              <w:t>UTM/lote</w:t>
            </w:r>
          </w:p>
        </w:tc>
      </w:tr>
      <w:tr w:rsidR="005869B5" w:rsidRPr="006637F9" w14:paraId="4FBF2459" w14:textId="77777777" w:rsidTr="00332EAB">
        <w:trPr>
          <w:jc w:val="center"/>
        </w:trPr>
        <w:tc>
          <w:tcPr>
            <w:tcW w:w="1345" w:type="dxa"/>
          </w:tcPr>
          <w:p w14:paraId="67E17753" w14:textId="2418D07B" w:rsidR="005869B5" w:rsidRPr="006637F9" w:rsidRDefault="005869B5" w:rsidP="00657E31">
            <w:pPr>
              <w:jc w:val="center"/>
              <w:rPr>
                <w:rFonts w:ascii="gobCL" w:hAnsi="gobCL"/>
                <w:sz w:val="18"/>
                <w:szCs w:val="22"/>
              </w:rPr>
            </w:pPr>
            <w:r w:rsidRPr="006637F9">
              <w:rPr>
                <w:rFonts w:ascii="gobCL" w:hAnsi="gobCL"/>
                <w:sz w:val="18"/>
                <w:szCs w:val="22"/>
              </w:rPr>
              <w:t>Todo oferente</w:t>
            </w:r>
          </w:p>
        </w:tc>
        <w:tc>
          <w:tcPr>
            <w:tcW w:w="1256" w:type="dxa"/>
          </w:tcPr>
          <w:p w14:paraId="4FAB940D" w14:textId="70791E09" w:rsidR="005869B5" w:rsidRPr="006637F9" w:rsidRDefault="005869B5" w:rsidP="00657E31">
            <w:pPr>
              <w:jc w:val="center"/>
              <w:rPr>
                <w:rFonts w:ascii="gobCL" w:hAnsi="gobCL"/>
                <w:sz w:val="18"/>
                <w:szCs w:val="22"/>
              </w:rPr>
            </w:pPr>
            <w:r w:rsidRPr="006637F9">
              <w:rPr>
                <w:rFonts w:ascii="gobCL" w:hAnsi="gobCL"/>
                <w:sz w:val="18"/>
                <w:szCs w:val="22"/>
              </w:rPr>
              <w:t>43</w:t>
            </w:r>
          </w:p>
        </w:tc>
        <w:tc>
          <w:tcPr>
            <w:tcW w:w="1406" w:type="dxa"/>
          </w:tcPr>
          <w:p w14:paraId="045B9BF4" w14:textId="28CD648B" w:rsidR="005869B5" w:rsidRPr="006637F9" w:rsidRDefault="005869B5" w:rsidP="00657E31">
            <w:pPr>
              <w:jc w:val="center"/>
              <w:rPr>
                <w:rFonts w:ascii="gobCL" w:hAnsi="gobCL"/>
                <w:sz w:val="18"/>
                <w:szCs w:val="22"/>
              </w:rPr>
            </w:pPr>
            <w:r w:rsidRPr="006637F9">
              <w:rPr>
                <w:rFonts w:ascii="gobCL" w:hAnsi="gobCL"/>
                <w:sz w:val="18"/>
                <w:szCs w:val="22"/>
              </w:rPr>
              <w:t>0,001500</w:t>
            </w:r>
          </w:p>
        </w:tc>
        <w:tc>
          <w:tcPr>
            <w:tcW w:w="1191" w:type="dxa"/>
          </w:tcPr>
          <w:p w14:paraId="497AA254" w14:textId="6A4E8B94" w:rsidR="005869B5" w:rsidRPr="006637F9" w:rsidRDefault="005869B5" w:rsidP="00657E31">
            <w:pPr>
              <w:jc w:val="center"/>
              <w:rPr>
                <w:rFonts w:ascii="gobCL" w:hAnsi="gobCL"/>
                <w:sz w:val="18"/>
                <w:szCs w:val="22"/>
              </w:rPr>
            </w:pPr>
            <w:r w:rsidRPr="006637F9">
              <w:rPr>
                <w:rFonts w:ascii="gobCL" w:hAnsi="gobCL"/>
                <w:sz w:val="18"/>
                <w:szCs w:val="22"/>
              </w:rPr>
              <w:t>3%</w:t>
            </w:r>
          </w:p>
        </w:tc>
        <w:tc>
          <w:tcPr>
            <w:tcW w:w="1162" w:type="dxa"/>
          </w:tcPr>
          <w:p w14:paraId="63807995" w14:textId="2BC73A75" w:rsidR="005869B5" w:rsidRPr="006637F9" w:rsidRDefault="005869B5" w:rsidP="00657E31">
            <w:pPr>
              <w:jc w:val="center"/>
              <w:rPr>
                <w:rFonts w:ascii="gobCL" w:hAnsi="gobCL"/>
                <w:sz w:val="18"/>
                <w:szCs w:val="22"/>
              </w:rPr>
            </w:pPr>
            <w:r>
              <w:rPr>
                <w:rFonts w:ascii="gobCL" w:hAnsi="gobCL"/>
                <w:sz w:val="18"/>
                <w:szCs w:val="22"/>
              </w:rPr>
              <w:t>30,934</w:t>
            </w:r>
          </w:p>
        </w:tc>
        <w:tc>
          <w:tcPr>
            <w:tcW w:w="1322" w:type="dxa"/>
          </w:tcPr>
          <w:p w14:paraId="00B23D52" w14:textId="1A40ACC3" w:rsidR="005869B5" w:rsidRPr="006637F9" w:rsidRDefault="005869B5" w:rsidP="00657E31">
            <w:pPr>
              <w:jc w:val="center"/>
              <w:rPr>
                <w:rFonts w:ascii="gobCL" w:hAnsi="gobCL"/>
                <w:sz w:val="18"/>
                <w:szCs w:val="22"/>
              </w:rPr>
            </w:pPr>
            <w:r>
              <w:rPr>
                <w:rFonts w:ascii="gobCL" w:hAnsi="gobCL"/>
                <w:sz w:val="18"/>
                <w:szCs w:val="22"/>
              </w:rPr>
              <w:t>1.861.130</w:t>
            </w:r>
          </w:p>
        </w:tc>
        <w:tc>
          <w:tcPr>
            <w:tcW w:w="1360" w:type="dxa"/>
          </w:tcPr>
          <w:p w14:paraId="50E72D3C" w14:textId="7DAB64D4" w:rsidR="005869B5" w:rsidRPr="006637F9" w:rsidRDefault="005869B5" w:rsidP="00657E31">
            <w:pPr>
              <w:jc w:val="center"/>
              <w:rPr>
                <w:rFonts w:ascii="gobCL" w:hAnsi="gobCL"/>
                <w:sz w:val="18"/>
                <w:szCs w:val="22"/>
              </w:rPr>
            </w:pPr>
            <w:r>
              <w:rPr>
                <w:rFonts w:ascii="gobCL" w:hAnsi="gobCL"/>
                <w:sz w:val="18"/>
                <w:szCs w:val="22"/>
              </w:rPr>
              <w:t>27,93</w:t>
            </w:r>
          </w:p>
        </w:tc>
      </w:tr>
    </w:tbl>
    <w:p w14:paraId="5EF6263B" w14:textId="77777777" w:rsidR="00D306C4" w:rsidRPr="00A3229D" w:rsidRDefault="00D306C4" w:rsidP="00657E31">
      <w:pPr>
        <w:jc w:val="center"/>
        <w:rPr>
          <w:rFonts w:ascii="gobCL" w:hAnsi="gobCL"/>
          <w:sz w:val="20"/>
        </w:rPr>
      </w:pPr>
    </w:p>
    <w:p w14:paraId="6B47FC92" w14:textId="77777777" w:rsidR="00657E31" w:rsidRPr="005869B5" w:rsidRDefault="00657E31" w:rsidP="00657E31">
      <w:pPr>
        <w:pStyle w:val="Textoindependiente"/>
        <w:rPr>
          <w:rFonts w:ascii="gobCL" w:hAnsi="gobCL"/>
          <w:bCs/>
        </w:rPr>
      </w:pPr>
      <w:r w:rsidRPr="005869B5">
        <w:rPr>
          <w:rFonts w:ascii="gobCL" w:hAnsi="gobCL"/>
          <w:bCs/>
        </w:rPr>
        <w:t>El precio mínimo de la oferta para merluza común COQ –LAGOS se calculó de la siguiente manera:</w:t>
      </w:r>
    </w:p>
    <w:p w14:paraId="43B164B3" w14:textId="6E94FB54" w:rsidR="00657E31" w:rsidRPr="005869B5" w:rsidRDefault="00657E31" w:rsidP="00657E31">
      <w:pPr>
        <w:pStyle w:val="Textoindependiente"/>
        <w:rPr>
          <w:rFonts w:ascii="gobCL" w:hAnsi="gobCL"/>
          <w:bCs/>
        </w:rPr>
      </w:pPr>
      <w:r w:rsidRPr="005869B5">
        <w:rPr>
          <w:rFonts w:ascii="gobCL" w:hAnsi="gobCL"/>
          <w:bCs/>
        </w:rPr>
        <w:t xml:space="preserve">Precio mínimo = (Toneladas a subastar) * (VS </w:t>
      </w:r>
      <w:r w:rsidRPr="005869B5">
        <w:rPr>
          <w:rFonts w:ascii="gobCL" w:hAnsi="gobCL"/>
          <w:bCs/>
          <w:vertAlign w:val="subscript"/>
        </w:rPr>
        <w:t>merluza común</w:t>
      </w:r>
      <w:r w:rsidRPr="005869B5">
        <w:rPr>
          <w:rFonts w:ascii="gobCL" w:hAnsi="gobCL"/>
          <w:bCs/>
        </w:rPr>
        <w:t>) * (UTM</w:t>
      </w:r>
      <w:r w:rsidRPr="005869B5">
        <w:rPr>
          <w:rFonts w:ascii="gobCL" w:hAnsi="gobCL"/>
          <w:bCs/>
          <w:vertAlign w:val="subscript"/>
        </w:rPr>
        <w:t>noviembre202</w:t>
      </w:r>
      <w:r w:rsidR="005869B5">
        <w:rPr>
          <w:rFonts w:ascii="gobCL" w:hAnsi="gobCL"/>
          <w:bCs/>
          <w:vertAlign w:val="subscript"/>
        </w:rPr>
        <w:t>4</w:t>
      </w:r>
      <w:r w:rsidRPr="005869B5">
        <w:rPr>
          <w:rFonts w:ascii="gobCL" w:hAnsi="gobCL"/>
          <w:bCs/>
        </w:rPr>
        <w:t xml:space="preserve">) * 4,2% </w:t>
      </w:r>
    </w:p>
    <w:p w14:paraId="07710404" w14:textId="79666154" w:rsidR="00657E31" w:rsidRPr="005869B5" w:rsidRDefault="00657E31" w:rsidP="00657E31">
      <w:pPr>
        <w:pStyle w:val="Textonotapie"/>
        <w:numPr>
          <w:ilvl w:val="0"/>
          <w:numId w:val="41"/>
        </w:numPr>
        <w:jc w:val="both"/>
        <w:rPr>
          <w:rFonts w:ascii="gobCL" w:hAnsi="gobCL"/>
        </w:rPr>
      </w:pPr>
      <w:r w:rsidRPr="005869B5">
        <w:rPr>
          <w:rFonts w:ascii="gobCL" w:hAnsi="gobCL"/>
          <w:lang w:val="es-CL"/>
        </w:rPr>
        <w:t>Las toneladas a subastar</w:t>
      </w:r>
      <w:r w:rsidR="00E91F72" w:rsidRPr="005869B5">
        <w:rPr>
          <w:rFonts w:ascii="gobCL" w:hAnsi="gobCL"/>
          <w:lang w:val="es-CL"/>
        </w:rPr>
        <w:t>,</w:t>
      </w:r>
      <w:r w:rsidRPr="005869B5">
        <w:rPr>
          <w:rFonts w:ascii="gobCL" w:hAnsi="gobCL"/>
          <w:lang w:val="es-CL"/>
        </w:rPr>
        <w:t xml:space="preserve"> en el caso de merluza común, corresponden</w:t>
      </w:r>
      <w:r w:rsidR="005869B5">
        <w:rPr>
          <w:rFonts w:ascii="gobCL" w:hAnsi="gobCL"/>
          <w:lang w:val="es-CL"/>
        </w:rPr>
        <w:t xml:space="preserve"> a</w:t>
      </w:r>
      <w:r w:rsidRPr="005869B5">
        <w:rPr>
          <w:rFonts w:ascii="gobCL" w:hAnsi="gobCL"/>
          <w:lang w:val="es-CL"/>
        </w:rPr>
        <w:t xml:space="preserve"> </w:t>
      </w:r>
      <w:r w:rsidR="005869B5">
        <w:rPr>
          <w:rFonts w:ascii="gobCL" w:hAnsi="gobCL"/>
          <w:lang w:val="es-CL"/>
        </w:rPr>
        <w:t>30,934 toneladas.</w:t>
      </w:r>
    </w:p>
    <w:p w14:paraId="15B3D0E4" w14:textId="52689994" w:rsidR="00657E31" w:rsidRPr="005869B5" w:rsidRDefault="00657E31" w:rsidP="00657E31">
      <w:pPr>
        <w:pStyle w:val="Textonotapie"/>
        <w:numPr>
          <w:ilvl w:val="0"/>
          <w:numId w:val="41"/>
        </w:numPr>
        <w:jc w:val="both"/>
        <w:rPr>
          <w:rFonts w:ascii="gobCL" w:hAnsi="gobCL"/>
        </w:rPr>
      </w:pPr>
      <w:r w:rsidRPr="005869B5">
        <w:rPr>
          <w:rFonts w:ascii="gobCL" w:hAnsi="gobCL"/>
        </w:rPr>
        <w:t xml:space="preserve">Valor sanción fijado en D. Ex. </w:t>
      </w:r>
      <w:proofErr w:type="spellStart"/>
      <w:r w:rsidRPr="005869B5">
        <w:rPr>
          <w:rFonts w:ascii="gobCL" w:hAnsi="gobCL"/>
        </w:rPr>
        <w:t>Nº</w:t>
      </w:r>
      <w:proofErr w:type="spellEnd"/>
      <w:r w:rsidRPr="005869B5">
        <w:rPr>
          <w:rFonts w:ascii="gobCL" w:hAnsi="gobCL"/>
        </w:rPr>
        <w:t xml:space="preserve"> </w:t>
      </w:r>
      <w:r w:rsidR="005869B5">
        <w:rPr>
          <w:rFonts w:ascii="gobCL" w:hAnsi="gobCL"/>
        </w:rPr>
        <w:t>147</w:t>
      </w:r>
      <w:r w:rsidRPr="005869B5">
        <w:rPr>
          <w:rFonts w:ascii="gobCL" w:hAnsi="gobCL"/>
        </w:rPr>
        <w:t>/20</w:t>
      </w:r>
      <w:r w:rsidR="00AB2149" w:rsidRPr="005869B5">
        <w:rPr>
          <w:rFonts w:ascii="gobCL" w:hAnsi="gobCL"/>
        </w:rPr>
        <w:t>2</w:t>
      </w:r>
      <w:r w:rsidR="005869B5">
        <w:rPr>
          <w:rFonts w:ascii="gobCL" w:hAnsi="gobCL"/>
        </w:rPr>
        <w:t>3</w:t>
      </w:r>
      <w:r w:rsidRPr="005869B5">
        <w:rPr>
          <w:rFonts w:ascii="gobCL" w:hAnsi="gobCL"/>
        </w:rPr>
        <w:t xml:space="preserve"> para la merluza común es de </w:t>
      </w:r>
      <w:r w:rsidR="00AB2149" w:rsidRPr="005869B5">
        <w:rPr>
          <w:rFonts w:ascii="gobCL" w:hAnsi="gobCL"/>
        </w:rPr>
        <w:t>21,5</w:t>
      </w:r>
      <w:r w:rsidRPr="005869B5">
        <w:rPr>
          <w:rFonts w:ascii="gobCL" w:hAnsi="gobCL"/>
        </w:rPr>
        <w:t xml:space="preserve"> UTM/</w:t>
      </w:r>
      <w:r w:rsidR="004C0AF3" w:rsidRPr="005869B5">
        <w:rPr>
          <w:rFonts w:ascii="gobCL" w:hAnsi="gobCL"/>
        </w:rPr>
        <w:t>t</w:t>
      </w:r>
      <w:r w:rsidRPr="005869B5">
        <w:rPr>
          <w:rFonts w:ascii="gobCL" w:hAnsi="gobCL"/>
        </w:rPr>
        <w:t xml:space="preserve">, considerando el valor de UTM </w:t>
      </w:r>
      <w:r w:rsidR="00AB2149" w:rsidRPr="005869B5">
        <w:rPr>
          <w:rFonts w:ascii="gobCL" w:hAnsi="gobCL"/>
        </w:rPr>
        <w:t xml:space="preserve">de noviembre de </w:t>
      </w:r>
      <w:r w:rsidRPr="005869B5">
        <w:rPr>
          <w:rFonts w:ascii="gobCL" w:hAnsi="gobCL"/>
        </w:rPr>
        <w:t xml:space="preserve">= $ </w:t>
      </w:r>
      <w:r w:rsidR="00AB2149" w:rsidRPr="005869B5">
        <w:rPr>
          <w:rFonts w:ascii="gobCL" w:hAnsi="gobCL"/>
        </w:rPr>
        <w:t>6</w:t>
      </w:r>
      <w:r w:rsidR="005869B5">
        <w:rPr>
          <w:rFonts w:ascii="gobCL" w:hAnsi="gobCL"/>
        </w:rPr>
        <w:t>6.628</w:t>
      </w:r>
      <w:r w:rsidRPr="005869B5">
        <w:rPr>
          <w:rFonts w:ascii="gobCL" w:hAnsi="gobCL"/>
        </w:rPr>
        <w:t>, del mes de noviembre del año 202</w:t>
      </w:r>
      <w:r w:rsidR="005869B5">
        <w:rPr>
          <w:rFonts w:ascii="gobCL" w:hAnsi="gobCL"/>
        </w:rPr>
        <w:t>4</w:t>
      </w:r>
      <w:r w:rsidRPr="005869B5">
        <w:rPr>
          <w:rFonts w:ascii="gobCL" w:hAnsi="gobCL"/>
        </w:rPr>
        <w:t>, según SII.</w:t>
      </w:r>
    </w:p>
    <w:p w14:paraId="2E618096" w14:textId="77777777" w:rsidR="00657E31" w:rsidRPr="00572F13" w:rsidRDefault="00657E31" w:rsidP="00657E31">
      <w:pPr>
        <w:pStyle w:val="Textonotapie"/>
        <w:numPr>
          <w:ilvl w:val="0"/>
          <w:numId w:val="41"/>
        </w:numPr>
        <w:jc w:val="both"/>
        <w:rPr>
          <w:rFonts w:ascii="gobCL" w:hAnsi="gobCL"/>
          <w:bCs/>
        </w:rPr>
      </w:pPr>
      <w:r w:rsidRPr="005869B5">
        <w:rPr>
          <w:rFonts w:ascii="gobCL" w:hAnsi="gobCL"/>
        </w:rPr>
        <w:t>Aproximado</w:t>
      </w:r>
      <w:r w:rsidRPr="005869B5">
        <w:rPr>
          <w:rFonts w:ascii="gobCL" w:hAnsi="gobCL"/>
          <w:lang w:val="es-CL"/>
        </w:rPr>
        <w:t xml:space="preserve"> al segundo decimal </w:t>
      </w:r>
      <w:proofErr w:type="gramStart"/>
      <w:r w:rsidRPr="005869B5">
        <w:rPr>
          <w:rFonts w:ascii="gobCL" w:hAnsi="gobCL"/>
          <w:lang w:val="es-CL"/>
        </w:rPr>
        <w:t>de acuerdo a</w:t>
      </w:r>
      <w:proofErr w:type="gramEnd"/>
      <w:r w:rsidRPr="005869B5">
        <w:rPr>
          <w:rFonts w:ascii="gobCL" w:hAnsi="gobCL"/>
          <w:lang w:val="es-CL"/>
        </w:rPr>
        <w:t xml:space="preserve"> Ley del Redondeo, Ley 20.956.</w:t>
      </w:r>
    </w:p>
    <w:p w14:paraId="7030AFA7" w14:textId="77777777" w:rsidR="00572F13" w:rsidRDefault="00572F13" w:rsidP="00572F13">
      <w:pPr>
        <w:pStyle w:val="Textonotapie"/>
        <w:jc w:val="both"/>
        <w:rPr>
          <w:rFonts w:ascii="gobCL" w:hAnsi="gobCL"/>
          <w:lang w:val="es-CL"/>
        </w:rPr>
      </w:pPr>
    </w:p>
    <w:p w14:paraId="31975C7E" w14:textId="77777777" w:rsidR="00572F13" w:rsidRDefault="00572F13" w:rsidP="00572F13">
      <w:pPr>
        <w:pStyle w:val="Textonotapie"/>
        <w:jc w:val="both"/>
        <w:rPr>
          <w:rFonts w:ascii="gobCL" w:hAnsi="gobCL"/>
          <w:lang w:val="es-CL"/>
        </w:rPr>
      </w:pPr>
    </w:p>
    <w:p w14:paraId="7B92C1D6" w14:textId="77777777" w:rsidR="00572F13" w:rsidRDefault="00572F13" w:rsidP="00572F13">
      <w:pPr>
        <w:pStyle w:val="Textonotapie"/>
        <w:jc w:val="both"/>
        <w:rPr>
          <w:rFonts w:ascii="gobCL" w:hAnsi="gobCL"/>
          <w:lang w:val="es-CL"/>
        </w:rPr>
      </w:pPr>
    </w:p>
    <w:p w14:paraId="08E6AA6D" w14:textId="77777777" w:rsidR="00572F13" w:rsidRDefault="00572F13" w:rsidP="00572F13">
      <w:pPr>
        <w:pStyle w:val="Textonotapie"/>
        <w:jc w:val="both"/>
        <w:rPr>
          <w:rFonts w:ascii="gobCL" w:hAnsi="gobCL"/>
          <w:lang w:val="es-CL"/>
        </w:rPr>
      </w:pPr>
    </w:p>
    <w:p w14:paraId="62AF0826" w14:textId="77777777" w:rsidR="00572F13" w:rsidRPr="005869B5" w:rsidRDefault="00572F13" w:rsidP="00572F13">
      <w:pPr>
        <w:pStyle w:val="Textonotapie"/>
        <w:jc w:val="both"/>
        <w:rPr>
          <w:rFonts w:ascii="gobCL" w:hAnsi="gobCL"/>
          <w:bCs/>
        </w:rPr>
      </w:pPr>
    </w:p>
    <w:p w14:paraId="73C61960" w14:textId="77777777" w:rsidR="00CE1362" w:rsidRPr="00A3229D" w:rsidRDefault="00CE1362" w:rsidP="001A46A0">
      <w:pPr>
        <w:pStyle w:val="Textoindependiente"/>
        <w:rPr>
          <w:rFonts w:ascii="gobCL" w:hAnsi="gobCL"/>
          <w:bCs/>
        </w:rPr>
      </w:pPr>
    </w:p>
    <w:p w14:paraId="14BDBC9B" w14:textId="1B487D53" w:rsidR="008325C6" w:rsidRPr="005869B5" w:rsidRDefault="00F63DA1" w:rsidP="008325C6">
      <w:pPr>
        <w:pStyle w:val="Textoindependiente"/>
        <w:rPr>
          <w:rFonts w:ascii="gobCL" w:hAnsi="gobCL"/>
          <w:b/>
          <w:bCs/>
          <w:sz w:val="24"/>
        </w:rPr>
      </w:pPr>
      <w:bookmarkStart w:id="0" w:name="OLE_LINK1"/>
      <w:r w:rsidRPr="005869B5">
        <w:rPr>
          <w:rFonts w:ascii="gobCL" w:hAnsi="gobCL"/>
          <w:b/>
          <w:bCs/>
          <w:sz w:val="24"/>
        </w:rPr>
        <w:t xml:space="preserve">3.3 </w:t>
      </w:r>
      <w:r w:rsidR="008325C6" w:rsidRPr="005869B5">
        <w:rPr>
          <w:rFonts w:ascii="gobCL" w:hAnsi="gobCL"/>
          <w:b/>
          <w:bCs/>
          <w:sz w:val="24"/>
        </w:rPr>
        <w:t>Monto de garantía de seriedad de la oferta</w:t>
      </w:r>
    </w:p>
    <w:bookmarkEnd w:id="0"/>
    <w:p w14:paraId="4DF94C84" w14:textId="77777777" w:rsidR="008325C6" w:rsidRPr="005869B5" w:rsidRDefault="008325C6" w:rsidP="008325C6">
      <w:pPr>
        <w:pStyle w:val="Textoindependiente"/>
        <w:ind w:left="720"/>
        <w:rPr>
          <w:rFonts w:ascii="gobCL" w:hAnsi="gobCL"/>
          <w:b/>
          <w:bCs/>
          <w:sz w:val="24"/>
          <w:u w:val="single"/>
        </w:rPr>
      </w:pPr>
    </w:p>
    <w:p w14:paraId="32F949EC" w14:textId="39D2970C" w:rsidR="00E53652" w:rsidRPr="005869B5" w:rsidRDefault="00E53652" w:rsidP="00E53652">
      <w:pPr>
        <w:pStyle w:val="Textoindependiente"/>
        <w:rPr>
          <w:rFonts w:ascii="gobCL" w:hAnsi="gobCL"/>
          <w:bCs/>
        </w:rPr>
      </w:pPr>
      <w:r w:rsidRPr="005869B5">
        <w:rPr>
          <w:rFonts w:ascii="gobCL" w:hAnsi="gobCL"/>
          <w:bCs/>
        </w:rPr>
        <w:t xml:space="preserve">Para determinar el monto de garantía de seriedad de la oferta para </w:t>
      </w:r>
      <w:r>
        <w:rPr>
          <w:rFonts w:ascii="gobCL" w:hAnsi="gobCL"/>
          <w:bCs/>
        </w:rPr>
        <w:t xml:space="preserve">anchoveta </w:t>
      </w:r>
      <w:proofErr w:type="spellStart"/>
      <w:r>
        <w:rPr>
          <w:rFonts w:ascii="gobCL" w:hAnsi="gobCL"/>
          <w:bCs/>
        </w:rPr>
        <w:t>AyP</w:t>
      </w:r>
      <w:proofErr w:type="spellEnd"/>
      <w:r>
        <w:rPr>
          <w:rFonts w:ascii="gobCL" w:hAnsi="gobCL"/>
          <w:bCs/>
        </w:rPr>
        <w:t xml:space="preserve"> – ANTOF </w:t>
      </w:r>
      <w:r w:rsidRPr="005869B5">
        <w:rPr>
          <w:rFonts w:ascii="gobCL" w:hAnsi="gobCL"/>
          <w:bCs/>
        </w:rPr>
        <w:t>se calculó de la siguiente manera:</w:t>
      </w:r>
    </w:p>
    <w:p w14:paraId="2095A7E5" w14:textId="77777777" w:rsidR="00E53652" w:rsidRPr="005869B5" w:rsidRDefault="00E53652" w:rsidP="00E53652">
      <w:pPr>
        <w:pStyle w:val="Textoindependiente"/>
        <w:rPr>
          <w:rFonts w:ascii="gobCL" w:hAnsi="gobCL"/>
          <w:bCs/>
        </w:rPr>
      </w:pPr>
    </w:p>
    <w:p w14:paraId="2856C8C5" w14:textId="2BFFBA26" w:rsidR="00E53652" w:rsidRPr="005869B5" w:rsidRDefault="00E53652" w:rsidP="00E53652">
      <w:pPr>
        <w:pStyle w:val="Textoindependiente"/>
        <w:rPr>
          <w:rFonts w:ascii="gobCL" w:hAnsi="gobCL"/>
          <w:bCs/>
        </w:rPr>
      </w:pPr>
      <w:r w:rsidRPr="005869B5">
        <w:rPr>
          <w:rFonts w:ascii="gobCL" w:hAnsi="gobCL"/>
          <w:bCs/>
        </w:rPr>
        <w:t xml:space="preserve">Monto de Garantía = (Toneladas a subastar) * (VS </w:t>
      </w:r>
      <w:r>
        <w:rPr>
          <w:rFonts w:ascii="gobCL" w:hAnsi="gobCL"/>
          <w:bCs/>
          <w:vertAlign w:val="subscript"/>
        </w:rPr>
        <w:t>anchoveta</w:t>
      </w:r>
      <w:r w:rsidRPr="005869B5">
        <w:rPr>
          <w:rFonts w:ascii="gobCL" w:hAnsi="gobCL"/>
          <w:bCs/>
        </w:rPr>
        <w:t>) * (UTM</w:t>
      </w:r>
      <w:r w:rsidRPr="005869B5">
        <w:rPr>
          <w:rFonts w:ascii="gobCL" w:hAnsi="gobCL"/>
          <w:bCs/>
          <w:vertAlign w:val="subscript"/>
        </w:rPr>
        <w:t>noviembre202</w:t>
      </w:r>
      <w:r>
        <w:rPr>
          <w:rFonts w:ascii="gobCL" w:hAnsi="gobCL"/>
          <w:bCs/>
          <w:vertAlign w:val="subscript"/>
        </w:rPr>
        <w:t>4</w:t>
      </w:r>
      <w:r w:rsidRPr="005869B5">
        <w:rPr>
          <w:rFonts w:ascii="gobCL" w:hAnsi="gobCL"/>
          <w:bCs/>
        </w:rPr>
        <w:t xml:space="preserve">) * (1/12), donde: </w:t>
      </w:r>
    </w:p>
    <w:p w14:paraId="374F4A82" w14:textId="4D1CE5A8" w:rsidR="00E53652" w:rsidRPr="005869B5" w:rsidRDefault="00E53652" w:rsidP="00E53652">
      <w:pPr>
        <w:pStyle w:val="Textonotapie"/>
        <w:numPr>
          <w:ilvl w:val="0"/>
          <w:numId w:val="41"/>
        </w:numPr>
        <w:jc w:val="both"/>
        <w:rPr>
          <w:rFonts w:ascii="gobCL" w:hAnsi="gobCL"/>
        </w:rPr>
      </w:pPr>
      <w:r w:rsidRPr="005869B5">
        <w:rPr>
          <w:rFonts w:ascii="gobCL" w:hAnsi="gobCL"/>
        </w:rPr>
        <w:t xml:space="preserve">Valor sanción fijado en D. Ex. </w:t>
      </w:r>
      <w:proofErr w:type="spellStart"/>
      <w:r w:rsidRPr="005869B5">
        <w:rPr>
          <w:rFonts w:ascii="gobCL" w:hAnsi="gobCL"/>
        </w:rPr>
        <w:t>Nº</w:t>
      </w:r>
      <w:proofErr w:type="spellEnd"/>
      <w:r w:rsidRPr="005869B5">
        <w:rPr>
          <w:rFonts w:ascii="gobCL" w:hAnsi="gobCL"/>
        </w:rPr>
        <w:t xml:space="preserve"> </w:t>
      </w:r>
      <w:r>
        <w:rPr>
          <w:rFonts w:ascii="gobCL" w:hAnsi="gobCL"/>
        </w:rPr>
        <w:t>147</w:t>
      </w:r>
      <w:r w:rsidRPr="005869B5">
        <w:rPr>
          <w:rFonts w:ascii="gobCL" w:hAnsi="gobCL"/>
        </w:rPr>
        <w:t>/202</w:t>
      </w:r>
      <w:r>
        <w:rPr>
          <w:rFonts w:ascii="gobCL" w:hAnsi="gobCL"/>
        </w:rPr>
        <w:t>3</w:t>
      </w:r>
      <w:r w:rsidRPr="005869B5">
        <w:rPr>
          <w:rFonts w:ascii="gobCL" w:hAnsi="gobCL"/>
        </w:rPr>
        <w:t xml:space="preserve"> para </w:t>
      </w:r>
      <w:r>
        <w:rPr>
          <w:rFonts w:ascii="gobCL" w:hAnsi="gobCL"/>
        </w:rPr>
        <w:t>anchoveta</w:t>
      </w:r>
      <w:r w:rsidRPr="005869B5">
        <w:rPr>
          <w:rFonts w:ascii="gobCL" w:hAnsi="gobCL"/>
        </w:rPr>
        <w:t xml:space="preserve"> es de 2,5 UTM/t, considerando el valor de UTM de noviembre de = $ 6</w:t>
      </w:r>
      <w:r>
        <w:rPr>
          <w:rFonts w:ascii="gobCL" w:hAnsi="gobCL"/>
        </w:rPr>
        <w:t>6</w:t>
      </w:r>
      <w:r w:rsidRPr="005869B5">
        <w:rPr>
          <w:rFonts w:ascii="gobCL" w:hAnsi="gobCL"/>
        </w:rPr>
        <w:t>.</w:t>
      </w:r>
      <w:r>
        <w:rPr>
          <w:rFonts w:ascii="gobCL" w:hAnsi="gobCL"/>
        </w:rPr>
        <w:t>628</w:t>
      </w:r>
      <w:r w:rsidRPr="005869B5">
        <w:rPr>
          <w:rFonts w:ascii="gobCL" w:hAnsi="gobCL"/>
        </w:rPr>
        <w:t>, del mes de noviembre del año 202</w:t>
      </w:r>
      <w:r>
        <w:rPr>
          <w:rFonts w:ascii="gobCL" w:hAnsi="gobCL"/>
        </w:rPr>
        <w:t>4</w:t>
      </w:r>
      <w:r w:rsidRPr="005869B5">
        <w:rPr>
          <w:rFonts w:ascii="gobCL" w:hAnsi="gobCL"/>
        </w:rPr>
        <w:t>, según SII.</w:t>
      </w:r>
    </w:p>
    <w:p w14:paraId="77EA35DD" w14:textId="77777777" w:rsidR="00E53652" w:rsidRPr="005869B5" w:rsidRDefault="00E53652" w:rsidP="00E53652">
      <w:pPr>
        <w:pStyle w:val="Textonotapie"/>
        <w:numPr>
          <w:ilvl w:val="0"/>
          <w:numId w:val="41"/>
        </w:numPr>
        <w:jc w:val="both"/>
        <w:rPr>
          <w:rFonts w:ascii="gobCL" w:hAnsi="gobCL"/>
        </w:rPr>
      </w:pPr>
      <w:r w:rsidRPr="005869B5">
        <w:rPr>
          <w:rFonts w:ascii="gobCL" w:hAnsi="gobCL"/>
        </w:rPr>
        <w:t>Coeficiente (1/12), correspondiente a la fracción de un mes que se mantendrá la vigencia de la garantía.</w:t>
      </w:r>
    </w:p>
    <w:p w14:paraId="6F215AEA" w14:textId="77777777" w:rsidR="00E53652" w:rsidRPr="005869B5" w:rsidRDefault="00E53652" w:rsidP="00E53652">
      <w:pPr>
        <w:pStyle w:val="Textonotapie"/>
        <w:numPr>
          <w:ilvl w:val="0"/>
          <w:numId w:val="41"/>
        </w:numPr>
        <w:jc w:val="both"/>
        <w:rPr>
          <w:rFonts w:ascii="gobCL" w:hAnsi="gobCL"/>
          <w:bCs/>
        </w:rPr>
      </w:pPr>
      <w:r w:rsidRPr="005869B5">
        <w:rPr>
          <w:rFonts w:ascii="gobCL" w:hAnsi="gobCL"/>
        </w:rPr>
        <w:t>Aproximado</w:t>
      </w:r>
      <w:r w:rsidRPr="005869B5">
        <w:rPr>
          <w:rFonts w:ascii="gobCL" w:hAnsi="gobCL"/>
          <w:lang w:val="es-CL"/>
        </w:rPr>
        <w:t xml:space="preserve"> al segundo decimal de acuerdo con </w:t>
      </w:r>
      <w:r>
        <w:rPr>
          <w:rFonts w:ascii="gobCL" w:hAnsi="gobCL"/>
          <w:lang w:val="es-CL"/>
        </w:rPr>
        <w:t>l</w:t>
      </w:r>
      <w:r w:rsidRPr="005869B5">
        <w:rPr>
          <w:rFonts w:ascii="gobCL" w:hAnsi="gobCL"/>
          <w:lang w:val="es-CL"/>
        </w:rPr>
        <w:t>a Ley del Redondeo, Ley 20.956.</w:t>
      </w:r>
    </w:p>
    <w:p w14:paraId="6DA9B81E" w14:textId="77777777" w:rsidR="00E53652" w:rsidRPr="005869B5" w:rsidRDefault="00E53652" w:rsidP="00E53652">
      <w:pPr>
        <w:pStyle w:val="Textoindependiente"/>
        <w:rPr>
          <w:rFonts w:ascii="gobCL" w:hAnsi="gobCL"/>
          <w:bCs/>
        </w:rPr>
      </w:pPr>
    </w:p>
    <w:p w14:paraId="23095382" w14:textId="26064A05" w:rsidR="00E53652" w:rsidRPr="005869B5" w:rsidRDefault="00E53652" w:rsidP="00E53652">
      <w:pPr>
        <w:pStyle w:val="Textoindependiente"/>
        <w:rPr>
          <w:rFonts w:ascii="gobCL" w:hAnsi="gobCL"/>
          <w:bCs/>
        </w:rPr>
      </w:pPr>
      <w:r w:rsidRPr="005869B5">
        <w:rPr>
          <w:rFonts w:ascii="gobCL" w:hAnsi="gobCL"/>
          <w:bCs/>
        </w:rPr>
        <w:t xml:space="preserve">Luego, los montos de garantía de seriedad de la oferta para </w:t>
      </w:r>
      <w:r w:rsidRPr="00E53652">
        <w:rPr>
          <w:rFonts w:ascii="gobCL" w:hAnsi="gobCL"/>
          <w:bCs/>
        </w:rPr>
        <w:t xml:space="preserve">para anchoveta </w:t>
      </w:r>
      <w:proofErr w:type="spellStart"/>
      <w:r w:rsidRPr="00E53652">
        <w:rPr>
          <w:rFonts w:ascii="gobCL" w:hAnsi="gobCL"/>
          <w:bCs/>
        </w:rPr>
        <w:t>AyP</w:t>
      </w:r>
      <w:proofErr w:type="spellEnd"/>
      <w:r w:rsidRPr="00E53652">
        <w:rPr>
          <w:rFonts w:ascii="gobCL" w:hAnsi="gobCL"/>
          <w:bCs/>
        </w:rPr>
        <w:t xml:space="preserve"> – ANTOF</w:t>
      </w:r>
      <w:r w:rsidRPr="005869B5">
        <w:rPr>
          <w:rFonts w:ascii="gobCL" w:hAnsi="gobCL"/>
          <w:bCs/>
        </w:rPr>
        <w:t xml:space="preserve">, expresados en pesos y en unidad tributaria mensual (UTM) de acuerdo con </w:t>
      </w:r>
      <w:r>
        <w:rPr>
          <w:rFonts w:ascii="gobCL" w:hAnsi="gobCL"/>
          <w:bCs/>
        </w:rPr>
        <w:t>el</w:t>
      </w:r>
      <w:r w:rsidRPr="005869B5">
        <w:rPr>
          <w:rFonts w:ascii="gobCL" w:hAnsi="gobCL"/>
          <w:bCs/>
        </w:rPr>
        <w:t xml:space="preserve"> corte (%) fijo, se indican en la Tabla </w:t>
      </w:r>
      <w:r>
        <w:rPr>
          <w:rFonts w:ascii="gobCL" w:hAnsi="gobCL"/>
          <w:bCs/>
        </w:rPr>
        <w:t>5</w:t>
      </w:r>
      <w:r w:rsidRPr="005869B5">
        <w:rPr>
          <w:rFonts w:ascii="gobCL" w:hAnsi="gobCL"/>
          <w:bCs/>
        </w:rPr>
        <w:t>.</w:t>
      </w:r>
    </w:p>
    <w:p w14:paraId="37D55867" w14:textId="77777777" w:rsidR="00E53652" w:rsidRPr="005869B5" w:rsidRDefault="00E53652" w:rsidP="00E53652">
      <w:pPr>
        <w:pStyle w:val="Textoindependiente"/>
        <w:rPr>
          <w:rFonts w:ascii="gobCL" w:hAnsi="gobCL"/>
          <w:bCs/>
        </w:rPr>
      </w:pPr>
    </w:p>
    <w:p w14:paraId="0EAD2769" w14:textId="28678FD4" w:rsidR="00E53652" w:rsidRDefault="00E53652" w:rsidP="00E53652">
      <w:pPr>
        <w:pStyle w:val="Textoindependiente"/>
        <w:jc w:val="center"/>
        <w:rPr>
          <w:rFonts w:ascii="gobCL" w:hAnsi="gobCL"/>
        </w:rPr>
      </w:pPr>
      <w:r w:rsidRPr="005869B5">
        <w:rPr>
          <w:rFonts w:ascii="gobCL" w:hAnsi="gobCL"/>
        </w:rPr>
        <w:t xml:space="preserve">Tabla </w:t>
      </w:r>
      <w:r>
        <w:rPr>
          <w:rFonts w:ascii="gobCL" w:hAnsi="gobCL"/>
        </w:rPr>
        <w:t>5</w:t>
      </w:r>
      <w:r w:rsidRPr="005869B5">
        <w:rPr>
          <w:rFonts w:ascii="gobCL" w:hAnsi="gobCL"/>
        </w:rPr>
        <w:t xml:space="preserve">. Monto de garantía de seriedad de la oferta en $ y UTM para </w:t>
      </w:r>
      <w:r w:rsidRPr="00E53652">
        <w:rPr>
          <w:rFonts w:ascii="gobCL" w:hAnsi="gobCL"/>
          <w:bCs/>
        </w:rPr>
        <w:t xml:space="preserve">para anchoveta </w:t>
      </w:r>
      <w:proofErr w:type="spellStart"/>
      <w:r w:rsidRPr="00E53652">
        <w:rPr>
          <w:rFonts w:ascii="gobCL" w:hAnsi="gobCL"/>
          <w:bCs/>
        </w:rPr>
        <w:t>AyP</w:t>
      </w:r>
      <w:proofErr w:type="spellEnd"/>
      <w:r w:rsidRPr="00E53652">
        <w:rPr>
          <w:rFonts w:ascii="gobCL" w:hAnsi="gobCL"/>
          <w:bCs/>
        </w:rPr>
        <w:t xml:space="preserve"> – ANTOF</w:t>
      </w:r>
      <w:r w:rsidRPr="005869B5">
        <w:rPr>
          <w:rFonts w:ascii="gobCL" w:hAnsi="gobCL"/>
        </w:rPr>
        <w:t>.</w:t>
      </w:r>
    </w:p>
    <w:tbl>
      <w:tblPr>
        <w:tblW w:w="79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570"/>
        <w:gridCol w:w="1091"/>
        <w:gridCol w:w="954"/>
        <w:gridCol w:w="1365"/>
        <w:gridCol w:w="1718"/>
        <w:gridCol w:w="1285"/>
      </w:tblGrid>
      <w:tr w:rsidR="00E53652" w14:paraId="33CD30C7" w14:textId="77777777" w:rsidTr="004E7E7B">
        <w:trPr>
          <w:trHeight w:val="340"/>
          <w:jc w:val="center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A197" w14:textId="77777777" w:rsidR="00E53652" w:rsidRPr="00E53652" w:rsidRDefault="00E53652" w:rsidP="00E53652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Tipo oferente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F3F3" w14:textId="77777777" w:rsidR="00E53652" w:rsidRPr="00E53652" w:rsidRDefault="00E53652" w:rsidP="00E53652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Lote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7FCE" w14:textId="77777777" w:rsidR="00E53652" w:rsidRPr="00E53652" w:rsidRDefault="00E53652" w:rsidP="00E53652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Coeficiente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C31A" w14:textId="77777777" w:rsidR="00E53652" w:rsidRPr="00E53652" w:rsidRDefault="00E53652" w:rsidP="00E53652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Porcentaje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77F0" w14:textId="77777777" w:rsidR="00E53652" w:rsidRPr="00E53652" w:rsidRDefault="00E53652" w:rsidP="00E53652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Lote (t)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1492" w14:textId="77777777" w:rsidR="00E53652" w:rsidRPr="00E53652" w:rsidRDefault="00E53652" w:rsidP="00E53652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Garantía en $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EB8D" w14:textId="77777777" w:rsidR="00E53652" w:rsidRPr="00E53652" w:rsidRDefault="00E53652" w:rsidP="00E53652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Garantía en UTM</w:t>
            </w:r>
          </w:p>
        </w:tc>
      </w:tr>
      <w:tr w:rsidR="004E7E7B" w14:paraId="15CB4DE3" w14:textId="77777777" w:rsidTr="000432B0">
        <w:trPr>
          <w:trHeight w:val="340"/>
          <w:jc w:val="center"/>
        </w:trPr>
        <w:tc>
          <w:tcPr>
            <w:tcW w:w="9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7921" w14:textId="77777777" w:rsidR="004E7E7B" w:rsidRPr="00E53652" w:rsidRDefault="004E7E7B" w:rsidP="004E7E7B">
            <w:pPr>
              <w:pStyle w:val="Textoindependiente"/>
              <w:jc w:val="left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EMT</w:t>
            </w:r>
          </w:p>
          <w:p w14:paraId="5047C6D2" w14:textId="77777777" w:rsidR="004E7E7B" w:rsidRPr="00E53652" w:rsidRDefault="004E7E7B" w:rsidP="004E7E7B">
            <w:pPr>
              <w:pStyle w:val="Textoindependiente"/>
              <w:jc w:val="left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Calibri" w:hAnsi="Calibri" w:cs="Calibri"/>
                <w:sz w:val="18"/>
                <w:szCs w:val="22"/>
              </w:rPr>
              <w:t> </w:t>
            </w:r>
          </w:p>
          <w:p w14:paraId="6CA34C57" w14:textId="77777777" w:rsidR="004E7E7B" w:rsidRPr="00E53652" w:rsidRDefault="004E7E7B" w:rsidP="004E7E7B">
            <w:pPr>
              <w:pStyle w:val="Textoindependiente"/>
              <w:jc w:val="left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Calibri" w:hAnsi="Calibri" w:cs="Calibri"/>
                <w:sz w:val="18"/>
                <w:szCs w:val="22"/>
              </w:rPr>
              <w:t> </w:t>
            </w:r>
          </w:p>
          <w:p w14:paraId="4FB48E94" w14:textId="77777777" w:rsidR="004E7E7B" w:rsidRPr="00E53652" w:rsidRDefault="004E7E7B" w:rsidP="004E7E7B">
            <w:pPr>
              <w:pStyle w:val="Textoindependiente"/>
              <w:jc w:val="left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Calibri" w:hAnsi="Calibri" w:cs="Calibri"/>
                <w:sz w:val="18"/>
                <w:szCs w:val="22"/>
              </w:rPr>
              <w:t> </w:t>
            </w:r>
          </w:p>
          <w:p w14:paraId="5CCEB009" w14:textId="77777777" w:rsidR="004E7E7B" w:rsidRPr="00E53652" w:rsidRDefault="004E7E7B" w:rsidP="004E7E7B">
            <w:pPr>
              <w:pStyle w:val="Textoindependiente"/>
              <w:jc w:val="left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Calibri" w:hAnsi="Calibri" w:cs="Calibri"/>
                <w:sz w:val="18"/>
                <w:szCs w:val="22"/>
              </w:rPr>
              <w:t> </w:t>
            </w:r>
          </w:p>
          <w:p w14:paraId="0044352C" w14:textId="77777777" w:rsidR="004E7E7B" w:rsidRPr="00E53652" w:rsidRDefault="004E7E7B" w:rsidP="004E7E7B">
            <w:pPr>
              <w:pStyle w:val="Textoindependiente"/>
              <w:jc w:val="left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Calibri" w:hAnsi="Calibri" w:cs="Calibri"/>
                <w:sz w:val="18"/>
                <w:szCs w:val="22"/>
              </w:rPr>
              <w:t> </w:t>
            </w:r>
          </w:p>
          <w:p w14:paraId="53B87BAD" w14:textId="77777777" w:rsidR="004E7E7B" w:rsidRPr="00E53652" w:rsidRDefault="004E7E7B" w:rsidP="004E7E7B">
            <w:pPr>
              <w:pStyle w:val="Textoindependiente"/>
              <w:jc w:val="left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Calibri" w:hAnsi="Calibri" w:cs="Calibri"/>
                <w:sz w:val="18"/>
                <w:szCs w:val="22"/>
              </w:rPr>
              <w:t> </w:t>
            </w:r>
          </w:p>
          <w:p w14:paraId="676D7982" w14:textId="77777777" w:rsidR="004E7E7B" w:rsidRPr="00E53652" w:rsidRDefault="004E7E7B" w:rsidP="004E7E7B">
            <w:pPr>
              <w:pStyle w:val="Textoindependiente"/>
              <w:jc w:val="left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Calibri" w:hAnsi="Calibri" w:cs="Calibri"/>
                <w:sz w:val="18"/>
                <w:szCs w:val="22"/>
              </w:rPr>
              <w:t> </w:t>
            </w:r>
          </w:p>
          <w:p w14:paraId="6DDB5A66" w14:textId="77777777" w:rsidR="004E7E7B" w:rsidRPr="00E53652" w:rsidRDefault="004E7E7B" w:rsidP="004E7E7B">
            <w:pPr>
              <w:pStyle w:val="Textoindependiente"/>
              <w:jc w:val="left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Calibri" w:hAnsi="Calibri" w:cs="Calibri"/>
                <w:sz w:val="18"/>
                <w:szCs w:val="22"/>
              </w:rPr>
              <w:t> </w:t>
            </w:r>
          </w:p>
          <w:p w14:paraId="1327E3A8" w14:textId="77777777" w:rsidR="004E7E7B" w:rsidRPr="00E53652" w:rsidRDefault="004E7E7B" w:rsidP="004E7E7B">
            <w:pPr>
              <w:pStyle w:val="Textoindependiente"/>
              <w:jc w:val="left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Calibri" w:hAnsi="Calibri" w:cs="Calibri"/>
                <w:sz w:val="18"/>
                <w:szCs w:val="22"/>
              </w:rPr>
              <w:t> </w:t>
            </w:r>
          </w:p>
          <w:p w14:paraId="7C556D62" w14:textId="77777777" w:rsidR="004E7E7B" w:rsidRPr="00E53652" w:rsidRDefault="004E7E7B" w:rsidP="004E7E7B">
            <w:pPr>
              <w:pStyle w:val="Textoindependiente"/>
              <w:jc w:val="left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Calibri" w:hAnsi="Calibri" w:cs="Calibri"/>
                <w:sz w:val="18"/>
                <w:szCs w:val="22"/>
              </w:rPr>
              <w:t> </w:t>
            </w:r>
          </w:p>
          <w:p w14:paraId="74524222" w14:textId="77777777" w:rsidR="004E7E7B" w:rsidRPr="00E53652" w:rsidRDefault="004E7E7B" w:rsidP="004E7E7B">
            <w:pPr>
              <w:pStyle w:val="Textoindependiente"/>
              <w:jc w:val="left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Calibri" w:hAnsi="Calibri" w:cs="Calibri"/>
                <w:sz w:val="18"/>
                <w:szCs w:val="22"/>
              </w:rPr>
              <w:t> </w:t>
            </w:r>
          </w:p>
          <w:p w14:paraId="12C0042C" w14:textId="77777777" w:rsidR="004E7E7B" w:rsidRPr="00E53652" w:rsidRDefault="004E7E7B" w:rsidP="004E7E7B">
            <w:pPr>
              <w:pStyle w:val="Textoindependiente"/>
              <w:jc w:val="left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Calibri" w:hAnsi="Calibri" w:cs="Calibri"/>
                <w:sz w:val="18"/>
                <w:szCs w:val="22"/>
              </w:rPr>
              <w:t> </w:t>
            </w:r>
          </w:p>
          <w:p w14:paraId="6B6CBC29" w14:textId="77777777" w:rsidR="004E7E7B" w:rsidRPr="00E53652" w:rsidRDefault="004E7E7B" w:rsidP="004E7E7B">
            <w:pPr>
              <w:pStyle w:val="Textoindependiente"/>
              <w:jc w:val="left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Calibri" w:hAnsi="Calibri" w:cs="Calibri"/>
                <w:sz w:val="18"/>
                <w:szCs w:val="22"/>
              </w:rPr>
              <w:t> </w:t>
            </w:r>
          </w:p>
          <w:p w14:paraId="457B693B" w14:textId="77777777" w:rsidR="004E7E7B" w:rsidRPr="00E53652" w:rsidRDefault="004E7E7B" w:rsidP="004E7E7B">
            <w:pPr>
              <w:pStyle w:val="Textoindependiente"/>
              <w:jc w:val="left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Calibri" w:hAnsi="Calibri" w:cs="Calibri"/>
                <w:sz w:val="18"/>
                <w:szCs w:val="22"/>
              </w:rPr>
              <w:t> </w:t>
            </w:r>
          </w:p>
          <w:p w14:paraId="2A80CB7C" w14:textId="77777777" w:rsidR="004E7E7B" w:rsidRPr="00E53652" w:rsidRDefault="004E7E7B" w:rsidP="004E7E7B">
            <w:pPr>
              <w:pStyle w:val="Textoindependiente"/>
              <w:jc w:val="left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Calibri" w:hAnsi="Calibri" w:cs="Calibri"/>
                <w:sz w:val="18"/>
                <w:szCs w:val="22"/>
              </w:rPr>
              <w:t> </w:t>
            </w:r>
          </w:p>
          <w:p w14:paraId="2A0B1FBA" w14:textId="77777777" w:rsidR="004E7E7B" w:rsidRPr="00E53652" w:rsidRDefault="004E7E7B" w:rsidP="004E7E7B">
            <w:pPr>
              <w:pStyle w:val="Textoindependiente"/>
              <w:jc w:val="left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Calibri" w:hAnsi="Calibri" w:cs="Calibri"/>
                <w:sz w:val="18"/>
                <w:szCs w:val="22"/>
              </w:rPr>
              <w:t> </w:t>
            </w:r>
          </w:p>
          <w:p w14:paraId="07CCE795" w14:textId="77777777" w:rsidR="004E7E7B" w:rsidRPr="00E53652" w:rsidRDefault="004E7E7B" w:rsidP="004E7E7B">
            <w:pPr>
              <w:pStyle w:val="Textoindependiente"/>
              <w:jc w:val="left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Calibri" w:hAnsi="Calibri" w:cs="Calibri"/>
                <w:sz w:val="18"/>
                <w:szCs w:val="22"/>
              </w:rPr>
              <w:t> </w:t>
            </w:r>
          </w:p>
          <w:p w14:paraId="5ADCFDC5" w14:textId="77777777" w:rsidR="004E7E7B" w:rsidRPr="00E53652" w:rsidRDefault="004E7E7B" w:rsidP="004E7E7B">
            <w:pPr>
              <w:pStyle w:val="Textoindependiente"/>
              <w:jc w:val="left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Calibri" w:hAnsi="Calibri" w:cs="Calibri"/>
                <w:sz w:val="18"/>
                <w:szCs w:val="22"/>
              </w:rPr>
              <w:t> </w:t>
            </w:r>
          </w:p>
          <w:p w14:paraId="6B0042B5" w14:textId="77777777" w:rsidR="004E7E7B" w:rsidRPr="00E53652" w:rsidRDefault="004E7E7B" w:rsidP="004E7E7B">
            <w:pPr>
              <w:pStyle w:val="Textoindependiente"/>
              <w:jc w:val="left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Calibri" w:hAnsi="Calibri" w:cs="Calibri"/>
                <w:sz w:val="18"/>
                <w:szCs w:val="22"/>
              </w:rPr>
              <w:t> </w:t>
            </w:r>
          </w:p>
          <w:p w14:paraId="040C1949" w14:textId="77777777" w:rsidR="004E7E7B" w:rsidRPr="00E53652" w:rsidRDefault="004E7E7B" w:rsidP="004E7E7B">
            <w:pPr>
              <w:pStyle w:val="Textoindependiente"/>
              <w:jc w:val="left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Calibri" w:hAnsi="Calibri" w:cs="Calibri"/>
                <w:sz w:val="18"/>
                <w:szCs w:val="22"/>
              </w:rPr>
              <w:t> </w:t>
            </w:r>
          </w:p>
          <w:p w14:paraId="5F32BEFD" w14:textId="77777777" w:rsidR="004E7E7B" w:rsidRPr="00E53652" w:rsidRDefault="004E7E7B" w:rsidP="004E7E7B">
            <w:pPr>
              <w:pStyle w:val="Textoindependiente"/>
              <w:jc w:val="left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Calibri" w:hAnsi="Calibri" w:cs="Calibri"/>
                <w:sz w:val="18"/>
                <w:szCs w:val="22"/>
              </w:rPr>
              <w:t> </w:t>
            </w:r>
          </w:p>
          <w:p w14:paraId="38D5D5F7" w14:textId="77777777" w:rsidR="004E7E7B" w:rsidRPr="00E53652" w:rsidRDefault="004E7E7B" w:rsidP="004E7E7B">
            <w:pPr>
              <w:pStyle w:val="Textoindependiente"/>
              <w:jc w:val="left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Calibri" w:hAnsi="Calibri" w:cs="Calibri"/>
                <w:sz w:val="18"/>
                <w:szCs w:val="22"/>
              </w:rPr>
              <w:t> </w:t>
            </w:r>
          </w:p>
          <w:p w14:paraId="61D510BE" w14:textId="7E7E2757" w:rsidR="004E7E7B" w:rsidRPr="00E53652" w:rsidRDefault="004E7E7B" w:rsidP="004E7E7B">
            <w:pPr>
              <w:pStyle w:val="Textoindependiente"/>
              <w:jc w:val="left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29AE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DE31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0,0005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B972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1,00%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145F" w14:textId="560D5C83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240,326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3EB4" w14:textId="2E064EE1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3.335.925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5018" w14:textId="5D543605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50,06</w:t>
            </w:r>
          </w:p>
        </w:tc>
      </w:tr>
      <w:tr w:rsidR="004E7E7B" w14:paraId="40AEEBE7" w14:textId="77777777" w:rsidTr="000432B0">
        <w:trPr>
          <w:trHeight w:val="340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B48A" w14:textId="661F3440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F005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BA26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0,0005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FE79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1,00%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4A6A" w14:textId="5AF6C8B9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240,326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91E8" w14:textId="31DFCD29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3.335.925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6379" w14:textId="16590C8E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50,06</w:t>
            </w:r>
          </w:p>
        </w:tc>
      </w:tr>
      <w:tr w:rsidR="004E7E7B" w14:paraId="14770153" w14:textId="77777777" w:rsidTr="000432B0">
        <w:trPr>
          <w:trHeight w:val="340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D9AF" w14:textId="45893435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BD1B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86EE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0,0005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354C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1,00%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807A" w14:textId="587E39B0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240,326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6FF6" w14:textId="424431E5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3.335.925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E737" w14:textId="69D721C0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50,06</w:t>
            </w:r>
          </w:p>
        </w:tc>
      </w:tr>
      <w:tr w:rsidR="004E7E7B" w14:paraId="3904C68A" w14:textId="77777777" w:rsidTr="000432B0">
        <w:trPr>
          <w:trHeight w:val="340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868C" w14:textId="3CBC7E21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87F1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15A6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0,0005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46C4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1,00%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8F4A" w14:textId="7F072354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240,326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EBAB" w14:textId="34C5CBA6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3.335.925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B42B" w14:textId="788F0026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50,06</w:t>
            </w:r>
          </w:p>
        </w:tc>
      </w:tr>
      <w:tr w:rsidR="004E7E7B" w14:paraId="29868B88" w14:textId="77777777" w:rsidTr="000432B0">
        <w:trPr>
          <w:trHeight w:val="340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6BC9" w14:textId="7A3D8031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B4B7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C140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0,0005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75F6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1,00%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43AB" w14:textId="5F4310EA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240,326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E725" w14:textId="73DDF936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3.335.925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18D5" w14:textId="3174A775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50,06</w:t>
            </w:r>
          </w:p>
        </w:tc>
      </w:tr>
      <w:tr w:rsidR="004E7E7B" w14:paraId="41821456" w14:textId="77777777" w:rsidTr="000432B0">
        <w:trPr>
          <w:trHeight w:val="340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A651" w14:textId="28F6E186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36F7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446D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0,0005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C0E6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1,00%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ECFB" w14:textId="5A7A9DF4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240,326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3739" w14:textId="037AE730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3.335.925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37AF" w14:textId="38A4DAA7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50,06</w:t>
            </w:r>
          </w:p>
        </w:tc>
      </w:tr>
      <w:tr w:rsidR="004E7E7B" w14:paraId="3E508E83" w14:textId="77777777" w:rsidTr="000432B0">
        <w:trPr>
          <w:trHeight w:val="340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F6F8" w14:textId="19C18515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45C3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101F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0,0005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5DA3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1,00%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1108" w14:textId="08B47C8D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240,326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1915" w14:textId="68DA958C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3.335.925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DE72" w14:textId="5D1BE815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50,06</w:t>
            </w:r>
          </w:p>
        </w:tc>
      </w:tr>
      <w:tr w:rsidR="004E7E7B" w14:paraId="1A5961BD" w14:textId="77777777" w:rsidTr="000432B0">
        <w:trPr>
          <w:trHeight w:val="340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0A50" w14:textId="4A0AABF4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66EC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26A1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0,0005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BF7C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1,00%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DF73" w14:textId="17A6481F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240,326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0BBB" w14:textId="1F359E88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3.335.925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CD50" w14:textId="5B6DB94B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50,06</w:t>
            </w:r>
          </w:p>
        </w:tc>
      </w:tr>
      <w:tr w:rsidR="004E7E7B" w14:paraId="0AB3D37F" w14:textId="77777777" w:rsidTr="000432B0">
        <w:trPr>
          <w:trHeight w:val="340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43CF" w14:textId="0463A65D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463A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D372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0,0005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94FA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1,00%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2F7D" w14:textId="11A9B3E9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240,326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7AC4" w14:textId="5A0F417B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3.335.925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9F6C" w14:textId="11927DF3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50,06</w:t>
            </w:r>
          </w:p>
        </w:tc>
      </w:tr>
      <w:tr w:rsidR="004E7E7B" w14:paraId="08D6025D" w14:textId="77777777" w:rsidTr="000432B0">
        <w:trPr>
          <w:trHeight w:val="340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59C6" w14:textId="1A0DA625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C1F8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11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140B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0,001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D8BE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2,00%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B655" w14:textId="4333310B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480,652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B565" w14:textId="7E4B6CDF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6.671.850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A75A" w14:textId="4C9685D5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100,13</w:t>
            </w:r>
          </w:p>
        </w:tc>
      </w:tr>
      <w:tr w:rsidR="004E7E7B" w14:paraId="398C335C" w14:textId="77777777" w:rsidTr="000432B0">
        <w:trPr>
          <w:trHeight w:val="340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5506" w14:textId="36609A83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733D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BD83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0,001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EF9C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2,00%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DCCF" w14:textId="33842119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480,652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C053" w14:textId="1B32E853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6.671.850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02CD" w14:textId="35E13ADC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100,13</w:t>
            </w:r>
          </w:p>
        </w:tc>
      </w:tr>
      <w:tr w:rsidR="004E7E7B" w14:paraId="0D3BF878" w14:textId="77777777" w:rsidTr="000432B0">
        <w:trPr>
          <w:trHeight w:val="340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35CD" w14:textId="31084756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CA19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E5A4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0,001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A623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2,00%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5360" w14:textId="0158D926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480,652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485E" w14:textId="23BF9E8A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6.671.850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045C" w14:textId="58BD3B12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100,13</w:t>
            </w:r>
          </w:p>
        </w:tc>
      </w:tr>
      <w:tr w:rsidR="004E7E7B" w14:paraId="0A9BFEA8" w14:textId="77777777" w:rsidTr="000432B0">
        <w:trPr>
          <w:trHeight w:val="340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CC2A" w14:textId="64F39705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466B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4493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0,001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7CBD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2,00%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477C" w14:textId="38BEB936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480,652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3E4F" w14:textId="27AB0762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6.671.850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2381" w14:textId="28EE7281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100,13</w:t>
            </w:r>
          </w:p>
        </w:tc>
      </w:tr>
      <w:tr w:rsidR="004E7E7B" w14:paraId="7C51054D" w14:textId="77777777" w:rsidTr="000432B0">
        <w:trPr>
          <w:trHeight w:val="340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3100" w14:textId="29A1E38B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88CC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15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ABA3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0,001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6888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2,00%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D47E" w14:textId="6F55D960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480,652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AA42" w14:textId="78250206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6.671.850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8091" w14:textId="259258D1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100,13</w:t>
            </w:r>
          </w:p>
        </w:tc>
      </w:tr>
      <w:tr w:rsidR="004E7E7B" w14:paraId="4DA692C9" w14:textId="77777777" w:rsidTr="000432B0">
        <w:trPr>
          <w:trHeight w:val="340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57E1" w14:textId="53F38370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24C9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16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08E4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0,001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CC73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2,00%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2568" w14:textId="3326B8EB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480,652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C126" w14:textId="362D04CA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6.671.850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BBC0" w14:textId="1F445ECC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100,13</w:t>
            </w:r>
          </w:p>
        </w:tc>
      </w:tr>
      <w:tr w:rsidR="004E7E7B" w14:paraId="7BEB1E10" w14:textId="77777777" w:rsidTr="000432B0">
        <w:trPr>
          <w:trHeight w:val="340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014A" w14:textId="3FA67094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264F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17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87E7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0,001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95A4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2,00%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7D8F" w14:textId="2466B8C4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480,652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ADA4" w14:textId="1293F879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6.671.850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4C7E" w14:textId="64825503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100,13</w:t>
            </w:r>
          </w:p>
        </w:tc>
      </w:tr>
      <w:tr w:rsidR="004E7E7B" w14:paraId="30D4F442" w14:textId="77777777" w:rsidTr="000432B0">
        <w:trPr>
          <w:trHeight w:val="340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5708" w14:textId="4D2B7CD8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9443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18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BDAF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0,001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B96A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2,00%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055B" w14:textId="6E937919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480,652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32A0" w14:textId="7A1D2A32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6.671.850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F14E" w14:textId="374BD462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100,13</w:t>
            </w:r>
          </w:p>
        </w:tc>
      </w:tr>
      <w:tr w:rsidR="004E7E7B" w14:paraId="3A0A8A12" w14:textId="77777777" w:rsidTr="000432B0">
        <w:trPr>
          <w:trHeight w:val="340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6749" w14:textId="7F0ED664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458A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19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C03B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0,001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9671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2,00%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1C08" w14:textId="656CA8DA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480,652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3479" w14:textId="1D371194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6.671.850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F06F" w14:textId="6C38E373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100,13</w:t>
            </w:r>
          </w:p>
        </w:tc>
      </w:tr>
      <w:tr w:rsidR="004E7E7B" w14:paraId="1387CC92" w14:textId="77777777" w:rsidTr="000432B0">
        <w:trPr>
          <w:trHeight w:val="340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B3C6" w14:textId="1384AF2A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879A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DC29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0,001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FA19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2,00%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4574" w14:textId="7081EEDC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480,652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7212" w14:textId="45B5AA00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6.671.850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EAFD" w14:textId="0934E1A2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100,13</w:t>
            </w:r>
          </w:p>
        </w:tc>
      </w:tr>
      <w:tr w:rsidR="004E7E7B" w14:paraId="74A6722E" w14:textId="77777777" w:rsidTr="000432B0">
        <w:trPr>
          <w:trHeight w:val="340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BCA7" w14:textId="0A47169D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34AC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24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9ACD" w14:textId="05AC0B76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0,001</w:t>
            </w:r>
            <w:r>
              <w:rPr>
                <w:rFonts w:ascii="gobCL" w:hAnsi="gobCL"/>
                <w:sz w:val="18"/>
                <w:szCs w:val="22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8F07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3,00%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D065" w14:textId="1F4F15D4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720,978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65CA" w14:textId="16E45319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10.007.775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F1F2" w14:textId="59BBE74D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150,2</w:t>
            </w:r>
          </w:p>
        </w:tc>
      </w:tr>
      <w:tr w:rsidR="004E7E7B" w14:paraId="48230699" w14:textId="77777777" w:rsidTr="000432B0">
        <w:trPr>
          <w:trHeight w:val="340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416D" w14:textId="7E8B71DC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D008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26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B026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0,0015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9B91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3,00%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C385" w14:textId="3A89BC16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720,978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A7DA" w14:textId="185D3848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10.007.775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0434" w14:textId="2BCA0DC2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150,2</w:t>
            </w:r>
          </w:p>
        </w:tc>
      </w:tr>
      <w:tr w:rsidR="004E7E7B" w14:paraId="120F2551" w14:textId="77777777" w:rsidTr="000432B0">
        <w:trPr>
          <w:trHeight w:val="340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EEE8" w14:textId="18E9316B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ED28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27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FE30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0,0015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3C12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3,00%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6710" w14:textId="404AA09C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720,978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B98F" w14:textId="6E127A37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10.007.775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A09A" w14:textId="2B6E8802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150,2</w:t>
            </w:r>
          </w:p>
        </w:tc>
      </w:tr>
      <w:tr w:rsidR="004E7E7B" w14:paraId="00F6E482" w14:textId="77777777" w:rsidTr="000432B0">
        <w:trPr>
          <w:trHeight w:val="340"/>
          <w:jc w:val="center"/>
        </w:trPr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4115" w14:textId="477A763B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A65C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28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E832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0,0015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98AA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3,00%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64B5" w14:textId="4B74BB90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720,978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615F" w14:textId="0C70DCDD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10.007.775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6FC0" w14:textId="02EC12DE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150,2</w:t>
            </w:r>
          </w:p>
        </w:tc>
      </w:tr>
      <w:tr w:rsidR="004E7E7B" w14:paraId="074FADDB" w14:textId="77777777" w:rsidTr="000432B0">
        <w:trPr>
          <w:trHeight w:val="340"/>
          <w:jc w:val="center"/>
        </w:trPr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F4D8" w14:textId="52D125BB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BCFD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29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15EE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0,0015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2FB7" w14:textId="77777777" w:rsidR="004E7E7B" w:rsidRPr="00E53652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E53652">
              <w:rPr>
                <w:rFonts w:ascii="gobCL" w:hAnsi="gobCL"/>
                <w:sz w:val="18"/>
                <w:szCs w:val="22"/>
              </w:rPr>
              <w:t>3,00%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5AAB" w14:textId="0439D75F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720,978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2E22" w14:textId="52D0D96D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10.007.775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AA4A" w14:textId="65939D5C" w:rsidR="004E7E7B" w:rsidRPr="004E7E7B" w:rsidRDefault="004E7E7B" w:rsidP="004E7E7B">
            <w:pPr>
              <w:pStyle w:val="Textoindependiente"/>
              <w:jc w:val="center"/>
              <w:rPr>
                <w:rFonts w:ascii="gobCL" w:hAnsi="gobCL"/>
                <w:sz w:val="18"/>
                <w:szCs w:val="18"/>
              </w:rPr>
            </w:pPr>
            <w:r w:rsidRPr="004E7E7B">
              <w:rPr>
                <w:rFonts w:ascii="gobCL" w:hAnsi="gobCL"/>
                <w:color w:val="000000"/>
                <w:sz w:val="18"/>
                <w:szCs w:val="18"/>
              </w:rPr>
              <w:t>150,2</w:t>
            </w:r>
          </w:p>
        </w:tc>
      </w:tr>
    </w:tbl>
    <w:p w14:paraId="63223933" w14:textId="77777777" w:rsidR="00E53652" w:rsidRDefault="00E53652" w:rsidP="003D2853">
      <w:pPr>
        <w:pStyle w:val="Textoindependiente"/>
        <w:rPr>
          <w:rFonts w:ascii="gobCL" w:hAnsi="gobCL"/>
          <w:bCs/>
        </w:rPr>
      </w:pPr>
    </w:p>
    <w:p w14:paraId="3EE15BC4" w14:textId="64CE8DC9" w:rsidR="003D2853" w:rsidRPr="005869B5" w:rsidRDefault="003D2853" w:rsidP="003D2853">
      <w:pPr>
        <w:pStyle w:val="Textoindependiente"/>
        <w:rPr>
          <w:rFonts w:ascii="gobCL" w:hAnsi="gobCL"/>
          <w:bCs/>
        </w:rPr>
      </w:pPr>
      <w:r w:rsidRPr="005869B5">
        <w:rPr>
          <w:rFonts w:ascii="gobCL" w:hAnsi="gobCL"/>
          <w:bCs/>
        </w:rPr>
        <w:t xml:space="preserve">Para determinar el monto de garantía de seriedad de la oferta para merluza común </w:t>
      </w:r>
      <w:r w:rsidRPr="005869B5">
        <w:rPr>
          <w:rFonts w:ascii="gobCL" w:hAnsi="gobCL"/>
          <w:lang w:val="es-CL"/>
        </w:rPr>
        <w:t>COQ</w:t>
      </w:r>
      <w:r w:rsidRPr="005869B5">
        <w:rPr>
          <w:rFonts w:ascii="gobCL" w:hAnsi="gobCL"/>
          <w:bCs/>
        </w:rPr>
        <w:t xml:space="preserve"> – LAGOS se calculó de la siguiente manera:</w:t>
      </w:r>
    </w:p>
    <w:p w14:paraId="668A50A8" w14:textId="77777777" w:rsidR="003D2853" w:rsidRPr="005869B5" w:rsidRDefault="003D2853" w:rsidP="003D2853">
      <w:pPr>
        <w:pStyle w:val="Textoindependiente"/>
        <w:rPr>
          <w:rFonts w:ascii="gobCL" w:hAnsi="gobCL"/>
          <w:bCs/>
        </w:rPr>
      </w:pPr>
    </w:p>
    <w:p w14:paraId="706DCDEF" w14:textId="3F166B4F" w:rsidR="003D2853" w:rsidRPr="005869B5" w:rsidRDefault="003D2853" w:rsidP="003D2853">
      <w:pPr>
        <w:pStyle w:val="Textoindependiente"/>
        <w:rPr>
          <w:rFonts w:ascii="gobCL" w:hAnsi="gobCL"/>
          <w:bCs/>
        </w:rPr>
      </w:pPr>
      <w:r w:rsidRPr="005869B5">
        <w:rPr>
          <w:rFonts w:ascii="gobCL" w:hAnsi="gobCL"/>
          <w:bCs/>
        </w:rPr>
        <w:t xml:space="preserve">Monto de Garantía = (Toneladas a subastar) * (VS </w:t>
      </w:r>
      <w:r w:rsidRPr="005869B5">
        <w:rPr>
          <w:rFonts w:ascii="gobCL" w:hAnsi="gobCL"/>
          <w:bCs/>
          <w:vertAlign w:val="subscript"/>
        </w:rPr>
        <w:t>merluza común</w:t>
      </w:r>
      <w:r w:rsidRPr="005869B5">
        <w:rPr>
          <w:rFonts w:ascii="gobCL" w:hAnsi="gobCL"/>
          <w:bCs/>
        </w:rPr>
        <w:t>) * (UTM</w:t>
      </w:r>
      <w:r w:rsidRPr="005869B5">
        <w:rPr>
          <w:rFonts w:ascii="gobCL" w:hAnsi="gobCL"/>
          <w:bCs/>
          <w:vertAlign w:val="subscript"/>
        </w:rPr>
        <w:t>noviembre202</w:t>
      </w:r>
      <w:r w:rsidR="005869B5">
        <w:rPr>
          <w:rFonts w:ascii="gobCL" w:hAnsi="gobCL"/>
          <w:bCs/>
          <w:vertAlign w:val="subscript"/>
        </w:rPr>
        <w:t>4</w:t>
      </w:r>
      <w:r w:rsidRPr="005869B5">
        <w:rPr>
          <w:rFonts w:ascii="gobCL" w:hAnsi="gobCL"/>
          <w:bCs/>
        </w:rPr>
        <w:t>) * (1/12)</w:t>
      </w:r>
      <w:r w:rsidR="00DF0B05" w:rsidRPr="005869B5">
        <w:rPr>
          <w:rFonts w:ascii="gobCL" w:hAnsi="gobCL"/>
          <w:bCs/>
        </w:rPr>
        <w:t>, d</w:t>
      </w:r>
      <w:r w:rsidRPr="005869B5">
        <w:rPr>
          <w:rFonts w:ascii="gobCL" w:hAnsi="gobCL"/>
          <w:bCs/>
        </w:rPr>
        <w:t xml:space="preserve">onde: </w:t>
      </w:r>
    </w:p>
    <w:p w14:paraId="3F824322" w14:textId="1C15DF8B" w:rsidR="003D2853" w:rsidRPr="005869B5" w:rsidRDefault="00DF0B05" w:rsidP="003D2853">
      <w:pPr>
        <w:pStyle w:val="Textonotapie"/>
        <w:numPr>
          <w:ilvl w:val="0"/>
          <w:numId w:val="41"/>
        </w:numPr>
        <w:jc w:val="both"/>
        <w:rPr>
          <w:rFonts w:ascii="gobCL" w:hAnsi="gobCL"/>
        </w:rPr>
      </w:pPr>
      <w:r w:rsidRPr="005869B5">
        <w:rPr>
          <w:rFonts w:ascii="gobCL" w:hAnsi="gobCL"/>
          <w:lang w:val="es-CL"/>
        </w:rPr>
        <w:t>Las toneladas para subastar</w:t>
      </w:r>
      <w:r w:rsidR="003D2853" w:rsidRPr="005869B5">
        <w:rPr>
          <w:rFonts w:ascii="gobCL" w:hAnsi="gobCL"/>
          <w:lang w:val="es-CL"/>
        </w:rPr>
        <w:t xml:space="preserve"> en el caso de merluza </w:t>
      </w:r>
      <w:r w:rsidRPr="005869B5">
        <w:rPr>
          <w:rFonts w:ascii="gobCL" w:hAnsi="gobCL"/>
          <w:lang w:val="es-CL"/>
        </w:rPr>
        <w:t>común</w:t>
      </w:r>
      <w:r w:rsidR="003D2853" w:rsidRPr="005869B5">
        <w:rPr>
          <w:rFonts w:ascii="gobCL" w:hAnsi="gobCL"/>
          <w:lang w:val="es-CL"/>
        </w:rPr>
        <w:t xml:space="preserve"> corresponden </w:t>
      </w:r>
      <w:r w:rsidR="005869B5">
        <w:rPr>
          <w:rFonts w:ascii="gobCL" w:hAnsi="gobCL"/>
          <w:lang w:val="es-CL"/>
        </w:rPr>
        <w:t>a 30,934 toneladas.</w:t>
      </w:r>
    </w:p>
    <w:p w14:paraId="64C1400C" w14:textId="43C3DC4D" w:rsidR="00F6756B" w:rsidRPr="005869B5" w:rsidRDefault="00F6756B" w:rsidP="00F6756B">
      <w:pPr>
        <w:pStyle w:val="Textonotapie"/>
        <w:numPr>
          <w:ilvl w:val="0"/>
          <w:numId w:val="41"/>
        </w:numPr>
        <w:jc w:val="both"/>
        <w:rPr>
          <w:rFonts w:ascii="gobCL" w:hAnsi="gobCL"/>
        </w:rPr>
      </w:pPr>
      <w:r w:rsidRPr="005869B5">
        <w:rPr>
          <w:rFonts w:ascii="gobCL" w:hAnsi="gobCL"/>
        </w:rPr>
        <w:t xml:space="preserve">Valor sanción fijado en D. Ex. </w:t>
      </w:r>
      <w:proofErr w:type="spellStart"/>
      <w:r w:rsidRPr="005869B5">
        <w:rPr>
          <w:rFonts w:ascii="gobCL" w:hAnsi="gobCL"/>
        </w:rPr>
        <w:t>Nº</w:t>
      </w:r>
      <w:proofErr w:type="spellEnd"/>
      <w:r w:rsidRPr="005869B5">
        <w:rPr>
          <w:rFonts w:ascii="gobCL" w:hAnsi="gobCL"/>
        </w:rPr>
        <w:t xml:space="preserve"> </w:t>
      </w:r>
      <w:r w:rsidR="005869B5">
        <w:rPr>
          <w:rFonts w:ascii="gobCL" w:hAnsi="gobCL"/>
        </w:rPr>
        <w:t>147</w:t>
      </w:r>
      <w:r w:rsidRPr="005869B5">
        <w:rPr>
          <w:rFonts w:ascii="gobCL" w:hAnsi="gobCL"/>
        </w:rPr>
        <w:t>/202</w:t>
      </w:r>
      <w:r w:rsidR="005869B5">
        <w:rPr>
          <w:rFonts w:ascii="gobCL" w:hAnsi="gobCL"/>
        </w:rPr>
        <w:t>3</w:t>
      </w:r>
      <w:r w:rsidRPr="005869B5">
        <w:rPr>
          <w:rFonts w:ascii="gobCL" w:hAnsi="gobCL"/>
        </w:rPr>
        <w:t xml:space="preserve"> para la merluza común es de 21,5 UTM/t, considerando el valor de UTM de noviembre de = $ 6</w:t>
      </w:r>
      <w:r w:rsidR="005869B5">
        <w:rPr>
          <w:rFonts w:ascii="gobCL" w:hAnsi="gobCL"/>
        </w:rPr>
        <w:t>6</w:t>
      </w:r>
      <w:r w:rsidRPr="005869B5">
        <w:rPr>
          <w:rFonts w:ascii="gobCL" w:hAnsi="gobCL"/>
        </w:rPr>
        <w:t>.</w:t>
      </w:r>
      <w:r w:rsidR="005869B5">
        <w:rPr>
          <w:rFonts w:ascii="gobCL" w:hAnsi="gobCL"/>
        </w:rPr>
        <w:t>628</w:t>
      </w:r>
      <w:r w:rsidRPr="005869B5">
        <w:rPr>
          <w:rFonts w:ascii="gobCL" w:hAnsi="gobCL"/>
        </w:rPr>
        <w:t>, del mes de noviembre del año 202</w:t>
      </w:r>
      <w:r w:rsidR="005869B5">
        <w:rPr>
          <w:rFonts w:ascii="gobCL" w:hAnsi="gobCL"/>
        </w:rPr>
        <w:t>4</w:t>
      </w:r>
      <w:r w:rsidRPr="005869B5">
        <w:rPr>
          <w:rFonts w:ascii="gobCL" w:hAnsi="gobCL"/>
        </w:rPr>
        <w:t>, según SII.</w:t>
      </w:r>
    </w:p>
    <w:p w14:paraId="20B5A94D" w14:textId="77777777" w:rsidR="003D2853" w:rsidRPr="005869B5" w:rsidRDefault="003D2853" w:rsidP="003D2853">
      <w:pPr>
        <w:pStyle w:val="Textonotapie"/>
        <w:numPr>
          <w:ilvl w:val="0"/>
          <w:numId w:val="41"/>
        </w:numPr>
        <w:jc w:val="both"/>
        <w:rPr>
          <w:rFonts w:ascii="gobCL" w:hAnsi="gobCL"/>
        </w:rPr>
      </w:pPr>
      <w:r w:rsidRPr="005869B5">
        <w:rPr>
          <w:rFonts w:ascii="gobCL" w:hAnsi="gobCL"/>
        </w:rPr>
        <w:t>Coeficiente (1/12), correspondiente a la fracción de un mes que se mantendrá la vigencia de la garantía.</w:t>
      </w:r>
    </w:p>
    <w:p w14:paraId="742CBCF8" w14:textId="682EB35F" w:rsidR="003D2853" w:rsidRPr="005869B5" w:rsidRDefault="003D2853" w:rsidP="003D2853">
      <w:pPr>
        <w:pStyle w:val="Textonotapie"/>
        <w:numPr>
          <w:ilvl w:val="0"/>
          <w:numId w:val="41"/>
        </w:numPr>
        <w:jc w:val="both"/>
        <w:rPr>
          <w:rFonts w:ascii="gobCL" w:hAnsi="gobCL"/>
          <w:bCs/>
        </w:rPr>
      </w:pPr>
      <w:r w:rsidRPr="005869B5">
        <w:rPr>
          <w:rFonts w:ascii="gobCL" w:hAnsi="gobCL"/>
        </w:rPr>
        <w:t>Aproximado</w:t>
      </w:r>
      <w:r w:rsidRPr="005869B5">
        <w:rPr>
          <w:rFonts w:ascii="gobCL" w:hAnsi="gobCL"/>
          <w:lang w:val="es-CL"/>
        </w:rPr>
        <w:t xml:space="preserve"> al segundo decimal de acuerdo</w:t>
      </w:r>
      <w:r w:rsidR="00104829" w:rsidRPr="005869B5">
        <w:rPr>
          <w:rFonts w:ascii="gobCL" w:hAnsi="gobCL"/>
          <w:lang w:val="es-CL"/>
        </w:rPr>
        <w:t xml:space="preserve"> con</w:t>
      </w:r>
      <w:r w:rsidRPr="005869B5">
        <w:rPr>
          <w:rFonts w:ascii="gobCL" w:hAnsi="gobCL"/>
          <w:lang w:val="es-CL"/>
        </w:rPr>
        <w:t xml:space="preserve"> </w:t>
      </w:r>
      <w:r w:rsidR="00B61CBE">
        <w:rPr>
          <w:rFonts w:ascii="gobCL" w:hAnsi="gobCL"/>
          <w:lang w:val="es-CL"/>
        </w:rPr>
        <w:t>l</w:t>
      </w:r>
      <w:r w:rsidRPr="005869B5">
        <w:rPr>
          <w:rFonts w:ascii="gobCL" w:hAnsi="gobCL"/>
          <w:lang w:val="es-CL"/>
        </w:rPr>
        <w:t>a Ley del Redondeo, Ley 20.956.</w:t>
      </w:r>
    </w:p>
    <w:p w14:paraId="735A79AA" w14:textId="77777777" w:rsidR="003D2853" w:rsidRPr="005869B5" w:rsidRDefault="003D2853" w:rsidP="003D2853">
      <w:pPr>
        <w:pStyle w:val="Textoindependiente"/>
        <w:rPr>
          <w:rFonts w:ascii="gobCL" w:hAnsi="gobCL"/>
          <w:bCs/>
        </w:rPr>
      </w:pPr>
    </w:p>
    <w:p w14:paraId="70FA6D75" w14:textId="47E9EF5C" w:rsidR="003D2853" w:rsidRPr="005869B5" w:rsidRDefault="003D2853" w:rsidP="003D2853">
      <w:pPr>
        <w:pStyle w:val="Textoindependiente"/>
        <w:rPr>
          <w:rFonts w:ascii="gobCL" w:hAnsi="gobCL"/>
          <w:bCs/>
        </w:rPr>
      </w:pPr>
      <w:r w:rsidRPr="005869B5">
        <w:rPr>
          <w:rFonts w:ascii="gobCL" w:hAnsi="gobCL"/>
          <w:bCs/>
        </w:rPr>
        <w:t xml:space="preserve">Luego, los montos de garantía de seriedad de la oferta para merluza común COQ- LAGOS, expresados en pesos y en unidad tributaria mensual (UTM) de acuerdo </w:t>
      </w:r>
      <w:r w:rsidR="00104829" w:rsidRPr="005869B5">
        <w:rPr>
          <w:rFonts w:ascii="gobCL" w:hAnsi="gobCL"/>
          <w:bCs/>
        </w:rPr>
        <w:t>con</w:t>
      </w:r>
      <w:r w:rsidRPr="005869B5">
        <w:rPr>
          <w:rFonts w:ascii="gobCL" w:hAnsi="gobCL"/>
          <w:bCs/>
        </w:rPr>
        <w:t xml:space="preserve"> </w:t>
      </w:r>
      <w:r w:rsidR="005869B5">
        <w:rPr>
          <w:rFonts w:ascii="gobCL" w:hAnsi="gobCL"/>
          <w:bCs/>
        </w:rPr>
        <w:t>el</w:t>
      </w:r>
      <w:r w:rsidRPr="005869B5">
        <w:rPr>
          <w:rFonts w:ascii="gobCL" w:hAnsi="gobCL"/>
          <w:bCs/>
        </w:rPr>
        <w:t xml:space="preserve"> corte (%) fijo, se indican en la Tabla </w:t>
      </w:r>
      <w:r w:rsidR="00D83BE8" w:rsidRPr="005869B5">
        <w:rPr>
          <w:rFonts w:ascii="gobCL" w:hAnsi="gobCL"/>
          <w:bCs/>
        </w:rPr>
        <w:t>6</w:t>
      </w:r>
      <w:r w:rsidRPr="005869B5">
        <w:rPr>
          <w:rFonts w:ascii="gobCL" w:hAnsi="gobCL"/>
          <w:bCs/>
        </w:rPr>
        <w:t>.</w:t>
      </w:r>
    </w:p>
    <w:p w14:paraId="524627B3" w14:textId="77777777" w:rsidR="003D2853" w:rsidRPr="005869B5" w:rsidRDefault="003D2853" w:rsidP="003D2853">
      <w:pPr>
        <w:pStyle w:val="Textoindependiente"/>
        <w:rPr>
          <w:rFonts w:ascii="gobCL" w:hAnsi="gobCL"/>
          <w:bCs/>
        </w:rPr>
      </w:pPr>
    </w:p>
    <w:p w14:paraId="686DE427" w14:textId="74907FB3" w:rsidR="003D2853" w:rsidRDefault="003D2853" w:rsidP="003D2853">
      <w:pPr>
        <w:pStyle w:val="Textoindependiente"/>
        <w:jc w:val="center"/>
        <w:rPr>
          <w:rFonts w:ascii="gobCL" w:hAnsi="gobCL"/>
        </w:rPr>
      </w:pPr>
      <w:r w:rsidRPr="005869B5">
        <w:rPr>
          <w:rFonts w:ascii="gobCL" w:hAnsi="gobCL"/>
        </w:rPr>
        <w:t xml:space="preserve">Tabla </w:t>
      </w:r>
      <w:r w:rsidR="00D83BE8" w:rsidRPr="005869B5">
        <w:rPr>
          <w:rFonts w:ascii="gobCL" w:hAnsi="gobCL"/>
        </w:rPr>
        <w:t>6</w:t>
      </w:r>
      <w:r w:rsidRPr="005869B5">
        <w:rPr>
          <w:rFonts w:ascii="gobCL" w:hAnsi="gobCL"/>
        </w:rPr>
        <w:t xml:space="preserve">. Monto de garantía de seriedad de la oferta en $ y UTM para merluza común </w:t>
      </w:r>
      <w:r w:rsidRPr="005869B5">
        <w:rPr>
          <w:rFonts w:ascii="gobCL" w:hAnsi="gobCL"/>
          <w:bCs/>
        </w:rPr>
        <w:t>COQ-LAGOS</w:t>
      </w:r>
      <w:r w:rsidRPr="005869B5">
        <w:rPr>
          <w:rFonts w:ascii="gobCL" w:hAnsi="gobC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1256"/>
        <w:gridCol w:w="1406"/>
        <w:gridCol w:w="1191"/>
        <w:gridCol w:w="1162"/>
        <w:gridCol w:w="1322"/>
        <w:gridCol w:w="1360"/>
      </w:tblGrid>
      <w:tr w:rsidR="00B61CBE" w:rsidRPr="006637F9" w14:paraId="6739AE17" w14:textId="77777777" w:rsidTr="0031191E">
        <w:tc>
          <w:tcPr>
            <w:tcW w:w="1345" w:type="dxa"/>
            <w:vAlign w:val="center"/>
          </w:tcPr>
          <w:p w14:paraId="12589DFF" w14:textId="77777777" w:rsidR="00B61CBE" w:rsidRPr="006637F9" w:rsidRDefault="00B61CBE" w:rsidP="0031191E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6637F9">
              <w:rPr>
                <w:rFonts w:ascii="gobCL" w:hAnsi="gobCL"/>
                <w:sz w:val="18"/>
                <w:szCs w:val="22"/>
              </w:rPr>
              <w:t>Tipo oferente</w:t>
            </w:r>
          </w:p>
        </w:tc>
        <w:tc>
          <w:tcPr>
            <w:tcW w:w="1256" w:type="dxa"/>
            <w:vAlign w:val="center"/>
          </w:tcPr>
          <w:p w14:paraId="6CB1EE51" w14:textId="77777777" w:rsidR="00B61CBE" w:rsidRPr="006637F9" w:rsidRDefault="00B61CBE" w:rsidP="0031191E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6637F9">
              <w:rPr>
                <w:rFonts w:ascii="gobCL" w:hAnsi="gobCL"/>
                <w:sz w:val="18"/>
                <w:szCs w:val="22"/>
              </w:rPr>
              <w:t>Lote</w:t>
            </w:r>
          </w:p>
        </w:tc>
        <w:tc>
          <w:tcPr>
            <w:tcW w:w="1406" w:type="dxa"/>
            <w:vAlign w:val="center"/>
          </w:tcPr>
          <w:p w14:paraId="0110797D" w14:textId="77777777" w:rsidR="00B61CBE" w:rsidRPr="006637F9" w:rsidRDefault="00B61CBE" w:rsidP="0031191E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6637F9">
              <w:rPr>
                <w:rFonts w:ascii="gobCL" w:hAnsi="gobCL"/>
                <w:sz w:val="18"/>
                <w:szCs w:val="22"/>
              </w:rPr>
              <w:t>Coeficiente</w:t>
            </w:r>
          </w:p>
        </w:tc>
        <w:tc>
          <w:tcPr>
            <w:tcW w:w="1191" w:type="dxa"/>
            <w:vAlign w:val="center"/>
          </w:tcPr>
          <w:p w14:paraId="70115ECA" w14:textId="77777777" w:rsidR="00B61CBE" w:rsidRPr="006637F9" w:rsidRDefault="00B61CBE" w:rsidP="0031191E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 w:rsidRPr="006637F9">
              <w:rPr>
                <w:rFonts w:ascii="gobCL" w:hAnsi="gobCL"/>
                <w:sz w:val="18"/>
                <w:szCs w:val="22"/>
              </w:rPr>
              <w:t>Porcentaje</w:t>
            </w:r>
          </w:p>
        </w:tc>
        <w:tc>
          <w:tcPr>
            <w:tcW w:w="1162" w:type="dxa"/>
            <w:vAlign w:val="center"/>
          </w:tcPr>
          <w:p w14:paraId="656E55EE" w14:textId="77777777" w:rsidR="00B61CBE" w:rsidRPr="005869B5" w:rsidRDefault="00B61CBE" w:rsidP="0031191E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>
              <w:rPr>
                <w:rFonts w:ascii="gobCL" w:hAnsi="gobCL"/>
                <w:sz w:val="18"/>
                <w:szCs w:val="22"/>
              </w:rPr>
              <w:t>Lote (t)</w:t>
            </w:r>
          </w:p>
        </w:tc>
        <w:tc>
          <w:tcPr>
            <w:tcW w:w="1322" w:type="dxa"/>
            <w:vAlign w:val="center"/>
          </w:tcPr>
          <w:p w14:paraId="54E37C14" w14:textId="406889F4" w:rsidR="00B61CBE" w:rsidRPr="005869B5" w:rsidRDefault="00B61CBE" w:rsidP="0031191E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>
              <w:rPr>
                <w:rFonts w:ascii="gobCL" w:hAnsi="gobCL"/>
                <w:sz w:val="18"/>
                <w:szCs w:val="22"/>
              </w:rPr>
              <w:t>Garantía</w:t>
            </w:r>
            <w:r w:rsidRPr="005869B5">
              <w:rPr>
                <w:rFonts w:ascii="gobCL" w:hAnsi="gobCL"/>
                <w:sz w:val="18"/>
                <w:szCs w:val="22"/>
              </w:rPr>
              <w:t xml:space="preserve"> ($/lote)</w:t>
            </w:r>
          </w:p>
        </w:tc>
        <w:tc>
          <w:tcPr>
            <w:tcW w:w="1360" w:type="dxa"/>
            <w:vAlign w:val="center"/>
          </w:tcPr>
          <w:p w14:paraId="361BE555" w14:textId="462DE7BD" w:rsidR="00B61CBE" w:rsidRPr="005869B5" w:rsidRDefault="00B61CBE" w:rsidP="0031191E">
            <w:pPr>
              <w:pStyle w:val="Textoindependiente"/>
              <w:jc w:val="center"/>
              <w:rPr>
                <w:rFonts w:ascii="gobCL" w:hAnsi="gobCL"/>
                <w:sz w:val="18"/>
                <w:szCs w:val="22"/>
              </w:rPr>
            </w:pPr>
            <w:r>
              <w:rPr>
                <w:rFonts w:ascii="gobCL" w:hAnsi="gobCL"/>
                <w:sz w:val="18"/>
                <w:szCs w:val="22"/>
              </w:rPr>
              <w:t xml:space="preserve">Garantía </w:t>
            </w:r>
            <w:r w:rsidRPr="005869B5">
              <w:rPr>
                <w:rFonts w:ascii="gobCL" w:hAnsi="gobCL"/>
                <w:sz w:val="18"/>
                <w:szCs w:val="22"/>
              </w:rPr>
              <w:t>UTM/lote</w:t>
            </w:r>
          </w:p>
        </w:tc>
      </w:tr>
      <w:tr w:rsidR="00B61CBE" w:rsidRPr="006637F9" w14:paraId="44C1A049" w14:textId="77777777" w:rsidTr="0031191E">
        <w:tc>
          <w:tcPr>
            <w:tcW w:w="1345" w:type="dxa"/>
          </w:tcPr>
          <w:p w14:paraId="2AD89BBF" w14:textId="77777777" w:rsidR="00B61CBE" w:rsidRPr="006637F9" w:rsidRDefault="00B61CBE" w:rsidP="0031191E">
            <w:pPr>
              <w:jc w:val="center"/>
              <w:rPr>
                <w:rFonts w:ascii="gobCL" w:hAnsi="gobCL"/>
                <w:sz w:val="18"/>
                <w:szCs w:val="22"/>
              </w:rPr>
            </w:pPr>
            <w:r w:rsidRPr="006637F9">
              <w:rPr>
                <w:rFonts w:ascii="gobCL" w:hAnsi="gobCL"/>
                <w:sz w:val="18"/>
                <w:szCs w:val="22"/>
              </w:rPr>
              <w:t>Todo oferente</w:t>
            </w:r>
          </w:p>
        </w:tc>
        <w:tc>
          <w:tcPr>
            <w:tcW w:w="1256" w:type="dxa"/>
          </w:tcPr>
          <w:p w14:paraId="52DBBDBC" w14:textId="77777777" w:rsidR="00B61CBE" w:rsidRPr="006637F9" w:rsidRDefault="00B61CBE" w:rsidP="0031191E">
            <w:pPr>
              <w:jc w:val="center"/>
              <w:rPr>
                <w:rFonts w:ascii="gobCL" w:hAnsi="gobCL"/>
                <w:sz w:val="18"/>
                <w:szCs w:val="22"/>
              </w:rPr>
            </w:pPr>
            <w:r w:rsidRPr="006637F9">
              <w:rPr>
                <w:rFonts w:ascii="gobCL" w:hAnsi="gobCL"/>
                <w:sz w:val="18"/>
                <w:szCs w:val="22"/>
              </w:rPr>
              <w:t>43</w:t>
            </w:r>
          </w:p>
        </w:tc>
        <w:tc>
          <w:tcPr>
            <w:tcW w:w="1406" w:type="dxa"/>
          </w:tcPr>
          <w:p w14:paraId="530ABCD9" w14:textId="77777777" w:rsidR="00B61CBE" w:rsidRPr="006637F9" w:rsidRDefault="00B61CBE" w:rsidP="0031191E">
            <w:pPr>
              <w:jc w:val="center"/>
              <w:rPr>
                <w:rFonts w:ascii="gobCL" w:hAnsi="gobCL"/>
                <w:sz w:val="18"/>
                <w:szCs w:val="22"/>
              </w:rPr>
            </w:pPr>
            <w:r w:rsidRPr="006637F9">
              <w:rPr>
                <w:rFonts w:ascii="gobCL" w:hAnsi="gobCL"/>
                <w:sz w:val="18"/>
                <w:szCs w:val="22"/>
              </w:rPr>
              <w:t>0,001500</w:t>
            </w:r>
          </w:p>
        </w:tc>
        <w:tc>
          <w:tcPr>
            <w:tcW w:w="1191" w:type="dxa"/>
          </w:tcPr>
          <w:p w14:paraId="5DFBABB8" w14:textId="77777777" w:rsidR="00B61CBE" w:rsidRPr="006637F9" w:rsidRDefault="00B61CBE" w:rsidP="0031191E">
            <w:pPr>
              <w:jc w:val="center"/>
              <w:rPr>
                <w:rFonts w:ascii="gobCL" w:hAnsi="gobCL"/>
                <w:sz w:val="18"/>
                <w:szCs w:val="22"/>
              </w:rPr>
            </w:pPr>
            <w:r w:rsidRPr="006637F9">
              <w:rPr>
                <w:rFonts w:ascii="gobCL" w:hAnsi="gobCL"/>
                <w:sz w:val="18"/>
                <w:szCs w:val="22"/>
              </w:rPr>
              <w:t>3%</w:t>
            </w:r>
          </w:p>
        </w:tc>
        <w:tc>
          <w:tcPr>
            <w:tcW w:w="1162" w:type="dxa"/>
          </w:tcPr>
          <w:p w14:paraId="1AF79859" w14:textId="77777777" w:rsidR="00B61CBE" w:rsidRPr="006637F9" w:rsidRDefault="00B61CBE" w:rsidP="0031191E">
            <w:pPr>
              <w:jc w:val="center"/>
              <w:rPr>
                <w:rFonts w:ascii="gobCL" w:hAnsi="gobCL"/>
                <w:sz w:val="18"/>
                <w:szCs w:val="22"/>
              </w:rPr>
            </w:pPr>
            <w:r>
              <w:rPr>
                <w:rFonts w:ascii="gobCL" w:hAnsi="gobCL"/>
                <w:sz w:val="18"/>
                <w:szCs w:val="22"/>
              </w:rPr>
              <w:t>30,934</w:t>
            </w:r>
          </w:p>
        </w:tc>
        <w:tc>
          <w:tcPr>
            <w:tcW w:w="1322" w:type="dxa"/>
          </w:tcPr>
          <w:p w14:paraId="279C5464" w14:textId="2415F0B3" w:rsidR="00B61CBE" w:rsidRPr="006637F9" w:rsidRDefault="00B61CBE" w:rsidP="0031191E">
            <w:pPr>
              <w:jc w:val="center"/>
              <w:rPr>
                <w:rFonts w:ascii="gobCL" w:hAnsi="gobCL"/>
                <w:sz w:val="18"/>
                <w:szCs w:val="22"/>
              </w:rPr>
            </w:pPr>
            <w:r>
              <w:rPr>
                <w:rFonts w:ascii="gobCL" w:hAnsi="gobCL"/>
                <w:sz w:val="18"/>
                <w:szCs w:val="22"/>
              </w:rPr>
              <w:t>3.692.718</w:t>
            </w:r>
          </w:p>
        </w:tc>
        <w:tc>
          <w:tcPr>
            <w:tcW w:w="1360" w:type="dxa"/>
          </w:tcPr>
          <w:p w14:paraId="335E53CD" w14:textId="5F4E9773" w:rsidR="00B61CBE" w:rsidRPr="006637F9" w:rsidRDefault="00B61CBE" w:rsidP="0031191E">
            <w:pPr>
              <w:jc w:val="center"/>
              <w:rPr>
                <w:rFonts w:ascii="gobCL" w:hAnsi="gobCL"/>
                <w:sz w:val="18"/>
                <w:szCs w:val="22"/>
              </w:rPr>
            </w:pPr>
            <w:r>
              <w:rPr>
                <w:rFonts w:ascii="gobCL" w:hAnsi="gobCL"/>
                <w:sz w:val="18"/>
                <w:szCs w:val="22"/>
              </w:rPr>
              <w:t>55,42</w:t>
            </w:r>
          </w:p>
        </w:tc>
      </w:tr>
    </w:tbl>
    <w:p w14:paraId="4D7EBE55" w14:textId="77777777" w:rsidR="00B61CBE" w:rsidRPr="005869B5" w:rsidRDefault="00B61CBE" w:rsidP="003D2853">
      <w:pPr>
        <w:pStyle w:val="Textoindependiente"/>
        <w:jc w:val="center"/>
        <w:rPr>
          <w:rFonts w:ascii="gobCL" w:hAnsi="gobCL"/>
        </w:rPr>
      </w:pPr>
    </w:p>
    <w:p w14:paraId="39B58027" w14:textId="77777777" w:rsidR="00A0609F" w:rsidRPr="006637F9" w:rsidRDefault="00A0609F">
      <w:pPr>
        <w:pStyle w:val="Textoindependiente"/>
        <w:rPr>
          <w:rFonts w:ascii="gobCL" w:hAnsi="gobCL"/>
          <w:b/>
          <w:bCs/>
          <w:sz w:val="24"/>
          <w:highlight w:val="yellow"/>
          <w:u w:val="single"/>
        </w:rPr>
      </w:pPr>
    </w:p>
    <w:p w14:paraId="165E90CB" w14:textId="51C7BC4D" w:rsidR="003E2EB1" w:rsidRPr="002430ED" w:rsidRDefault="003E2EB1" w:rsidP="00F63DA1">
      <w:pPr>
        <w:pStyle w:val="Textoindependiente"/>
        <w:numPr>
          <w:ilvl w:val="0"/>
          <w:numId w:val="46"/>
        </w:numPr>
        <w:rPr>
          <w:rFonts w:ascii="gobCL" w:hAnsi="gobCL"/>
          <w:b/>
          <w:bCs/>
          <w:sz w:val="24"/>
        </w:rPr>
      </w:pPr>
      <w:r w:rsidRPr="002430ED">
        <w:rPr>
          <w:rFonts w:ascii="gobCL" w:hAnsi="gobCL"/>
          <w:b/>
          <w:bCs/>
          <w:sz w:val="24"/>
        </w:rPr>
        <w:t>Conclusiones</w:t>
      </w:r>
    </w:p>
    <w:p w14:paraId="44E57EE2" w14:textId="77777777" w:rsidR="002027A7" w:rsidRPr="002430ED" w:rsidRDefault="002027A7" w:rsidP="00127CAB">
      <w:pPr>
        <w:pStyle w:val="Textoindependiente"/>
        <w:rPr>
          <w:rFonts w:ascii="gobCL" w:hAnsi="gobCL"/>
          <w:bCs/>
        </w:rPr>
      </w:pPr>
    </w:p>
    <w:p w14:paraId="6FF3A679" w14:textId="72744C43" w:rsidR="00DF0B05" w:rsidRPr="002430ED" w:rsidRDefault="003E2EB1" w:rsidP="002D3DD7">
      <w:pPr>
        <w:pStyle w:val="Textoindependiente"/>
        <w:rPr>
          <w:rFonts w:ascii="gobCL" w:hAnsi="gobCL"/>
          <w:bCs/>
        </w:rPr>
      </w:pPr>
      <w:r w:rsidRPr="002430ED">
        <w:rPr>
          <w:rFonts w:ascii="gobCL" w:hAnsi="gobCL"/>
          <w:bCs/>
        </w:rPr>
        <w:t xml:space="preserve">Durante la subasta a realizarse </w:t>
      </w:r>
      <w:r w:rsidR="00A0609F" w:rsidRPr="002430ED">
        <w:rPr>
          <w:rFonts w:ascii="gobCL" w:hAnsi="gobCL"/>
          <w:bCs/>
        </w:rPr>
        <w:t>en diciembre</w:t>
      </w:r>
      <w:r w:rsidR="00CC14F7" w:rsidRPr="002430ED">
        <w:rPr>
          <w:rFonts w:ascii="gobCL" w:hAnsi="gobCL"/>
          <w:bCs/>
        </w:rPr>
        <w:t xml:space="preserve"> </w:t>
      </w:r>
      <w:r w:rsidRPr="002430ED">
        <w:rPr>
          <w:rFonts w:ascii="gobCL" w:hAnsi="gobCL"/>
          <w:bCs/>
        </w:rPr>
        <w:t>20</w:t>
      </w:r>
      <w:r w:rsidR="008B0E2F" w:rsidRPr="002430ED">
        <w:rPr>
          <w:rFonts w:ascii="gobCL" w:hAnsi="gobCL"/>
          <w:bCs/>
        </w:rPr>
        <w:t>2</w:t>
      </w:r>
      <w:r w:rsidR="002430ED" w:rsidRPr="002430ED">
        <w:rPr>
          <w:rFonts w:ascii="gobCL" w:hAnsi="gobCL"/>
          <w:bCs/>
        </w:rPr>
        <w:t>4</w:t>
      </w:r>
      <w:r w:rsidR="00E97A96" w:rsidRPr="002430ED">
        <w:rPr>
          <w:rFonts w:ascii="gobCL" w:hAnsi="gobCL"/>
          <w:bCs/>
        </w:rPr>
        <w:t>,</w:t>
      </w:r>
      <w:r w:rsidR="00956570" w:rsidRPr="002430ED">
        <w:rPr>
          <w:rFonts w:ascii="gobCL" w:hAnsi="gobCL"/>
          <w:bCs/>
        </w:rPr>
        <w:t xml:space="preserve"> se </w:t>
      </w:r>
      <w:r w:rsidR="002F414A" w:rsidRPr="002430ED">
        <w:rPr>
          <w:rFonts w:ascii="gobCL" w:hAnsi="gobCL"/>
          <w:bCs/>
        </w:rPr>
        <w:t>deberá</w:t>
      </w:r>
      <w:r w:rsidR="00DF0B05" w:rsidRPr="002430ED">
        <w:rPr>
          <w:rFonts w:ascii="gobCL" w:hAnsi="gobCL"/>
          <w:bCs/>
        </w:rPr>
        <w:t xml:space="preserve"> licitar:</w:t>
      </w:r>
    </w:p>
    <w:p w14:paraId="030A15AF" w14:textId="77777777" w:rsidR="00324478" w:rsidRPr="0069101A" w:rsidRDefault="00324478" w:rsidP="00324478">
      <w:pPr>
        <w:pStyle w:val="Prrafodelista"/>
        <w:rPr>
          <w:rFonts w:ascii="gobCL" w:hAnsi="gobCL"/>
          <w:bCs/>
          <w:sz w:val="20"/>
          <w:szCs w:val="20"/>
        </w:rPr>
      </w:pPr>
    </w:p>
    <w:p w14:paraId="28B477E1" w14:textId="47E26BAF" w:rsidR="0069101A" w:rsidRPr="0069101A" w:rsidRDefault="00081B76" w:rsidP="0069101A">
      <w:pPr>
        <w:pStyle w:val="Prrafodelista"/>
        <w:numPr>
          <w:ilvl w:val="0"/>
          <w:numId w:val="48"/>
        </w:numPr>
        <w:jc w:val="both"/>
        <w:rPr>
          <w:rFonts w:ascii="gobCL" w:hAnsi="gobCL"/>
          <w:bCs/>
          <w:sz w:val="20"/>
          <w:szCs w:val="20"/>
        </w:rPr>
      </w:pPr>
      <w:r w:rsidRPr="0069101A">
        <w:rPr>
          <w:rFonts w:ascii="gobCL" w:hAnsi="gobCL"/>
          <w:bCs/>
          <w:sz w:val="20"/>
          <w:szCs w:val="20"/>
        </w:rPr>
        <w:t>Veinte y cuatro</w:t>
      </w:r>
      <w:r w:rsidR="00136345" w:rsidRPr="0069101A">
        <w:rPr>
          <w:rFonts w:ascii="gobCL" w:hAnsi="gobCL"/>
          <w:bCs/>
          <w:sz w:val="20"/>
          <w:szCs w:val="20"/>
        </w:rPr>
        <w:t xml:space="preserve"> </w:t>
      </w:r>
      <w:r w:rsidR="00A0609F" w:rsidRPr="0069101A">
        <w:rPr>
          <w:rFonts w:ascii="gobCL" w:hAnsi="gobCL"/>
          <w:bCs/>
          <w:sz w:val="20"/>
          <w:szCs w:val="20"/>
        </w:rPr>
        <w:t>(</w:t>
      </w:r>
      <w:r w:rsidRPr="0069101A">
        <w:rPr>
          <w:rFonts w:ascii="gobCL" w:hAnsi="gobCL"/>
          <w:bCs/>
          <w:sz w:val="20"/>
          <w:szCs w:val="20"/>
        </w:rPr>
        <w:t>24</w:t>
      </w:r>
      <w:r w:rsidR="00A0609F" w:rsidRPr="0069101A">
        <w:rPr>
          <w:rFonts w:ascii="gobCL" w:hAnsi="gobCL"/>
          <w:bCs/>
          <w:sz w:val="20"/>
          <w:szCs w:val="20"/>
        </w:rPr>
        <w:t>)</w:t>
      </w:r>
      <w:r w:rsidR="00DF0B05" w:rsidRPr="0069101A">
        <w:rPr>
          <w:rFonts w:ascii="gobCL" w:hAnsi="gobCL"/>
          <w:bCs/>
          <w:sz w:val="20"/>
          <w:szCs w:val="20"/>
        </w:rPr>
        <w:t xml:space="preserve"> lotes renunciados po</w:t>
      </w:r>
      <w:r w:rsidR="009B7C92" w:rsidRPr="0069101A">
        <w:rPr>
          <w:rFonts w:ascii="gobCL" w:hAnsi="gobCL"/>
          <w:bCs/>
          <w:sz w:val="20"/>
          <w:szCs w:val="20"/>
        </w:rPr>
        <w:t>r</w:t>
      </w:r>
      <w:r w:rsidR="00DF0B05" w:rsidRPr="0069101A">
        <w:rPr>
          <w:rFonts w:ascii="gobCL" w:hAnsi="gobCL"/>
          <w:bCs/>
          <w:sz w:val="20"/>
          <w:szCs w:val="20"/>
        </w:rPr>
        <w:t xml:space="preserve"> titular</w:t>
      </w:r>
      <w:r w:rsidR="009B7C92" w:rsidRPr="0069101A">
        <w:rPr>
          <w:rFonts w:ascii="gobCL" w:hAnsi="gobCL"/>
          <w:bCs/>
          <w:sz w:val="20"/>
          <w:szCs w:val="20"/>
        </w:rPr>
        <w:t xml:space="preserve"> SINDICATO PESQUERO DEL NORTE SpA.</w:t>
      </w:r>
      <w:r w:rsidR="00DF0B05" w:rsidRPr="0069101A">
        <w:rPr>
          <w:rFonts w:ascii="gobCL" w:hAnsi="gobCL"/>
          <w:bCs/>
          <w:sz w:val="20"/>
          <w:szCs w:val="20"/>
        </w:rPr>
        <w:t xml:space="preserve"> los cuales tienen una duración </w:t>
      </w:r>
      <w:r w:rsidR="0069101A" w:rsidRPr="0069101A">
        <w:rPr>
          <w:rFonts w:ascii="gobCL" w:hAnsi="gobCL"/>
          <w:bCs/>
          <w:sz w:val="20"/>
          <w:szCs w:val="20"/>
        </w:rPr>
        <w:t xml:space="preserve">hasta el 7 de febrero del 2039. </w:t>
      </w:r>
    </w:p>
    <w:p w14:paraId="4C762816" w14:textId="2E67C4A3" w:rsidR="002430ED" w:rsidRDefault="002430ED" w:rsidP="00A60EA9">
      <w:pPr>
        <w:pStyle w:val="Textoindependiente"/>
        <w:numPr>
          <w:ilvl w:val="0"/>
          <w:numId w:val="48"/>
        </w:numPr>
        <w:rPr>
          <w:rFonts w:ascii="gobCL" w:hAnsi="gobCL"/>
          <w:bCs/>
          <w:szCs w:val="20"/>
        </w:rPr>
      </w:pPr>
      <w:r w:rsidRPr="0069101A">
        <w:rPr>
          <w:rFonts w:ascii="gobCL" w:hAnsi="gobCL"/>
          <w:bCs/>
          <w:szCs w:val="20"/>
        </w:rPr>
        <w:t>Un lote caducado a titular</w:t>
      </w:r>
      <w:r w:rsidRPr="0069101A">
        <w:rPr>
          <w:rFonts w:ascii="gobCL" w:hAnsi="gobCL"/>
          <w:szCs w:val="20"/>
        </w:rPr>
        <w:t xml:space="preserve"> </w:t>
      </w:r>
      <w:r w:rsidRPr="0069101A">
        <w:rPr>
          <w:rFonts w:ascii="gobCL" w:hAnsi="gobCL"/>
          <w:bCs/>
          <w:szCs w:val="20"/>
        </w:rPr>
        <w:t xml:space="preserve">PESQUERA MJF LIMITADA, el cual tiene una duración </w:t>
      </w:r>
      <w:r w:rsidR="00081B76" w:rsidRPr="0069101A">
        <w:rPr>
          <w:rFonts w:ascii="gobCL" w:hAnsi="gobCL"/>
          <w:bCs/>
          <w:szCs w:val="20"/>
        </w:rPr>
        <w:t>hasta el 31 de enero del 2039.</w:t>
      </w:r>
      <w:r w:rsidRPr="0069101A">
        <w:rPr>
          <w:rFonts w:ascii="gobCL" w:hAnsi="gobCL"/>
          <w:bCs/>
          <w:szCs w:val="20"/>
        </w:rPr>
        <w:t xml:space="preserve"> </w:t>
      </w:r>
    </w:p>
    <w:p w14:paraId="78AAF0E0" w14:textId="70FDE162" w:rsidR="00E53652" w:rsidRPr="0069101A" w:rsidRDefault="00E53652" w:rsidP="00A60EA9">
      <w:pPr>
        <w:pStyle w:val="Textoindependiente"/>
        <w:numPr>
          <w:ilvl w:val="0"/>
          <w:numId w:val="48"/>
        </w:numPr>
        <w:rPr>
          <w:rFonts w:ascii="gobCL" w:hAnsi="gobCL"/>
          <w:bCs/>
          <w:szCs w:val="20"/>
        </w:rPr>
      </w:pPr>
      <w:r>
        <w:rPr>
          <w:rFonts w:ascii="gobCL" w:hAnsi="gobCL"/>
          <w:bCs/>
          <w:szCs w:val="20"/>
        </w:rPr>
        <w:t xml:space="preserve">No podrán participar en subasta de lotes renunciados </w:t>
      </w:r>
      <w:r w:rsidR="00441C87">
        <w:rPr>
          <w:rFonts w:ascii="gobCL" w:hAnsi="gobCL"/>
          <w:bCs/>
          <w:szCs w:val="20"/>
        </w:rPr>
        <w:t xml:space="preserve">de anchoveta de </w:t>
      </w:r>
      <w:proofErr w:type="spellStart"/>
      <w:r w:rsidR="00441C87">
        <w:rPr>
          <w:rFonts w:ascii="gobCL" w:hAnsi="gobCL"/>
          <w:bCs/>
          <w:szCs w:val="20"/>
        </w:rPr>
        <w:t>AyP</w:t>
      </w:r>
      <w:proofErr w:type="spellEnd"/>
      <w:r w:rsidR="00441C87">
        <w:rPr>
          <w:rFonts w:ascii="gobCL" w:hAnsi="gobCL"/>
          <w:bCs/>
          <w:szCs w:val="20"/>
        </w:rPr>
        <w:t xml:space="preserve"> a ANTOF </w:t>
      </w:r>
      <w:r w:rsidR="00DE6573" w:rsidRPr="00441C87">
        <w:rPr>
          <w:rFonts w:ascii="gobCL" w:hAnsi="gobCL"/>
          <w:bCs/>
          <w:szCs w:val="20"/>
        </w:rPr>
        <w:t xml:space="preserve">SINDICATO PESQUERO DEL NORTE </w:t>
      </w:r>
      <w:proofErr w:type="spellStart"/>
      <w:proofErr w:type="gramStart"/>
      <w:r w:rsidR="00DE6573" w:rsidRPr="00441C87">
        <w:rPr>
          <w:rFonts w:ascii="gobCL" w:hAnsi="gobCL"/>
          <w:bCs/>
          <w:szCs w:val="20"/>
        </w:rPr>
        <w:t>SpA</w:t>
      </w:r>
      <w:proofErr w:type="spellEnd"/>
      <w:r w:rsidR="00DE6573">
        <w:rPr>
          <w:rFonts w:ascii="gobCL" w:hAnsi="gobCL"/>
          <w:bCs/>
          <w:szCs w:val="20"/>
        </w:rPr>
        <w:t xml:space="preserve"> </w:t>
      </w:r>
      <w:r w:rsidR="00DE6573">
        <w:rPr>
          <w:rFonts w:ascii="gobCL" w:hAnsi="gobCL"/>
          <w:bCs/>
          <w:szCs w:val="20"/>
        </w:rPr>
        <w:t>;</w:t>
      </w:r>
      <w:proofErr w:type="gramEnd"/>
      <w:r w:rsidR="00DE6573">
        <w:rPr>
          <w:rFonts w:ascii="gobCL" w:hAnsi="gobCL"/>
          <w:bCs/>
          <w:szCs w:val="20"/>
        </w:rPr>
        <w:t xml:space="preserve"> </w:t>
      </w:r>
      <w:r>
        <w:rPr>
          <w:rFonts w:ascii="gobCL" w:hAnsi="gobCL"/>
          <w:bCs/>
          <w:szCs w:val="20"/>
        </w:rPr>
        <w:t>y</w:t>
      </w:r>
      <w:r w:rsidR="00DE6573">
        <w:rPr>
          <w:rFonts w:ascii="gobCL" w:hAnsi="gobCL"/>
          <w:bCs/>
          <w:szCs w:val="20"/>
        </w:rPr>
        <w:t xml:space="preserve"> lote </w:t>
      </w:r>
      <w:r>
        <w:rPr>
          <w:rFonts w:ascii="gobCL" w:hAnsi="gobCL"/>
          <w:bCs/>
          <w:szCs w:val="20"/>
        </w:rPr>
        <w:t xml:space="preserve"> caducado</w:t>
      </w:r>
      <w:r w:rsidR="00441C87">
        <w:rPr>
          <w:rFonts w:ascii="gobCL" w:hAnsi="gobCL"/>
          <w:bCs/>
          <w:szCs w:val="20"/>
        </w:rPr>
        <w:t xml:space="preserve"> de merluza común y </w:t>
      </w:r>
      <w:r w:rsidR="00441C87" w:rsidRPr="00441C87">
        <w:rPr>
          <w:rFonts w:ascii="gobCL" w:hAnsi="gobCL"/>
          <w:bCs/>
          <w:szCs w:val="20"/>
        </w:rPr>
        <w:t>PESQUERA MJF LIMITADA</w:t>
      </w:r>
      <w:r w:rsidR="00441C87">
        <w:rPr>
          <w:rFonts w:ascii="gobCL" w:hAnsi="gobCL"/>
          <w:bCs/>
          <w:szCs w:val="20"/>
        </w:rPr>
        <w:t>.</w:t>
      </w:r>
    </w:p>
    <w:p w14:paraId="3341745A" w14:textId="0CF98D95" w:rsidR="0042642C" w:rsidRDefault="0042642C" w:rsidP="00956570">
      <w:pPr>
        <w:pStyle w:val="Textoindependiente"/>
        <w:rPr>
          <w:rFonts w:ascii="gobCL" w:hAnsi="gobCL"/>
          <w:bCs/>
        </w:rPr>
      </w:pPr>
    </w:p>
    <w:p w14:paraId="18E9383B" w14:textId="77777777" w:rsidR="0069101A" w:rsidRDefault="0069101A" w:rsidP="00956570">
      <w:pPr>
        <w:pStyle w:val="Textoindependiente"/>
        <w:rPr>
          <w:rFonts w:ascii="gobCL" w:hAnsi="gobCL"/>
          <w:bCs/>
        </w:rPr>
      </w:pPr>
    </w:p>
    <w:p w14:paraId="2C4F7B29" w14:textId="77777777" w:rsidR="0069101A" w:rsidRDefault="0069101A" w:rsidP="00956570">
      <w:pPr>
        <w:pStyle w:val="Textoindependiente"/>
        <w:rPr>
          <w:rFonts w:ascii="gobCL" w:hAnsi="gobCL"/>
          <w:bCs/>
        </w:rPr>
      </w:pPr>
    </w:p>
    <w:p w14:paraId="7CB27CBA" w14:textId="77777777" w:rsidR="0069101A" w:rsidRDefault="0069101A" w:rsidP="00956570">
      <w:pPr>
        <w:pStyle w:val="Textoindependiente"/>
        <w:rPr>
          <w:rFonts w:ascii="gobCL" w:hAnsi="gobCL"/>
          <w:bCs/>
        </w:rPr>
      </w:pPr>
    </w:p>
    <w:p w14:paraId="3DD81387" w14:textId="77777777" w:rsidR="0069101A" w:rsidRPr="002430ED" w:rsidRDefault="0069101A" w:rsidP="00956570">
      <w:pPr>
        <w:pStyle w:val="Textoindependiente"/>
        <w:rPr>
          <w:rFonts w:ascii="gobCL" w:hAnsi="gobCL"/>
          <w:bCs/>
        </w:rPr>
      </w:pPr>
    </w:p>
    <w:p w14:paraId="7A3E120E" w14:textId="39C17188" w:rsidR="00CA0BCE" w:rsidRPr="00A3229D" w:rsidRDefault="00136345">
      <w:pPr>
        <w:pStyle w:val="Textoindependiente"/>
        <w:rPr>
          <w:rFonts w:ascii="gobCL" w:hAnsi="gobCL"/>
          <w:bCs/>
          <w:sz w:val="18"/>
        </w:rPr>
      </w:pPr>
      <w:r w:rsidRPr="002430ED">
        <w:rPr>
          <w:rFonts w:ascii="gobCL" w:hAnsi="gobCL"/>
          <w:bCs/>
          <w:sz w:val="18"/>
        </w:rPr>
        <w:t>MUV/</w:t>
      </w:r>
      <w:proofErr w:type="spellStart"/>
      <w:r w:rsidR="002430ED" w:rsidRPr="002430ED">
        <w:rPr>
          <w:rFonts w:ascii="gobCL" w:hAnsi="gobCL"/>
          <w:bCs/>
          <w:sz w:val="18"/>
        </w:rPr>
        <w:t>imu</w:t>
      </w:r>
      <w:proofErr w:type="spellEnd"/>
      <w:r w:rsidR="00641540" w:rsidRPr="002430ED">
        <w:rPr>
          <w:rFonts w:ascii="gobCL" w:hAnsi="gobCL"/>
          <w:bCs/>
          <w:sz w:val="18"/>
        </w:rPr>
        <w:t>.</w:t>
      </w:r>
      <w:r w:rsidR="0042642C" w:rsidRPr="002430ED">
        <w:rPr>
          <w:rFonts w:ascii="gobCL" w:hAnsi="gobCL"/>
          <w:bCs/>
          <w:sz w:val="18"/>
        </w:rPr>
        <w:tab/>
      </w:r>
      <w:r w:rsidR="0042642C" w:rsidRPr="002430ED">
        <w:rPr>
          <w:rFonts w:ascii="gobCL" w:hAnsi="gobCL"/>
          <w:bCs/>
          <w:sz w:val="18"/>
        </w:rPr>
        <w:tab/>
      </w:r>
      <w:r w:rsidR="0042642C" w:rsidRPr="002430ED">
        <w:rPr>
          <w:rFonts w:ascii="gobCL" w:hAnsi="gobCL"/>
          <w:bCs/>
          <w:sz w:val="18"/>
        </w:rPr>
        <w:tab/>
      </w:r>
      <w:r w:rsidR="00494B8C" w:rsidRPr="002430ED">
        <w:rPr>
          <w:rFonts w:ascii="gobCL" w:hAnsi="gobCL"/>
          <w:bCs/>
          <w:sz w:val="18"/>
        </w:rPr>
        <w:tab/>
      </w:r>
      <w:r w:rsidR="00A03CC0" w:rsidRPr="002430ED">
        <w:rPr>
          <w:rFonts w:ascii="gobCL" w:hAnsi="gobCL"/>
          <w:bCs/>
          <w:sz w:val="18"/>
        </w:rPr>
        <w:tab/>
      </w:r>
      <w:r w:rsidR="00A03CC0" w:rsidRPr="002430ED">
        <w:rPr>
          <w:rFonts w:ascii="gobCL" w:hAnsi="gobCL"/>
          <w:bCs/>
          <w:sz w:val="18"/>
        </w:rPr>
        <w:tab/>
      </w:r>
      <w:r w:rsidR="00A03CC0" w:rsidRPr="002430ED">
        <w:rPr>
          <w:rFonts w:ascii="gobCL" w:hAnsi="gobCL"/>
          <w:bCs/>
          <w:sz w:val="18"/>
        </w:rPr>
        <w:tab/>
      </w:r>
      <w:r w:rsidR="002D3DD7" w:rsidRPr="002430ED">
        <w:rPr>
          <w:rFonts w:ascii="gobCL" w:hAnsi="gobCL"/>
          <w:bCs/>
          <w:sz w:val="18"/>
        </w:rPr>
        <w:t xml:space="preserve">                        </w:t>
      </w:r>
      <w:r w:rsidR="002430ED" w:rsidRPr="002430ED">
        <w:rPr>
          <w:rFonts w:ascii="gobCL" w:hAnsi="gobCL"/>
          <w:bCs/>
          <w:sz w:val="18"/>
        </w:rPr>
        <w:t>N</w:t>
      </w:r>
      <w:r w:rsidR="00941166" w:rsidRPr="002430ED">
        <w:rPr>
          <w:rFonts w:ascii="gobCL" w:hAnsi="gobCL"/>
          <w:bCs/>
        </w:rPr>
        <w:t>oviem</w:t>
      </w:r>
      <w:r w:rsidR="009D0D27" w:rsidRPr="002430ED">
        <w:rPr>
          <w:rFonts w:ascii="gobCL" w:hAnsi="gobCL"/>
          <w:bCs/>
        </w:rPr>
        <w:t>bre de 202</w:t>
      </w:r>
      <w:r w:rsidR="002430ED" w:rsidRPr="002430ED">
        <w:rPr>
          <w:rFonts w:ascii="gobCL" w:hAnsi="gobCL"/>
          <w:bCs/>
        </w:rPr>
        <w:t>4</w:t>
      </w:r>
      <w:r w:rsidR="009D0D27" w:rsidRPr="00A3229D">
        <w:rPr>
          <w:rFonts w:ascii="gobCL" w:hAnsi="gobCL"/>
          <w:bCs/>
        </w:rPr>
        <w:tab/>
      </w:r>
    </w:p>
    <w:sectPr w:rsidR="00CA0BCE" w:rsidRPr="00A3229D" w:rsidSect="005D6D9F">
      <w:headerReference w:type="even" r:id="rId8"/>
      <w:headerReference w:type="default" r:id="rId9"/>
      <w:footerReference w:type="default" r:id="rId10"/>
      <w:pgSz w:w="12240" w:h="15840" w:code="1"/>
      <w:pgMar w:top="902" w:right="1191" w:bottom="1440" w:left="1797" w:header="181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4CEB1" w14:textId="77777777" w:rsidR="005A61B1" w:rsidRDefault="005A61B1">
      <w:r>
        <w:separator/>
      </w:r>
    </w:p>
  </w:endnote>
  <w:endnote w:type="continuationSeparator" w:id="0">
    <w:p w14:paraId="24B665E1" w14:textId="77777777" w:rsidR="005A61B1" w:rsidRDefault="005A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E295F" w14:textId="128A76A1" w:rsidR="005A61B1" w:rsidRPr="004D1D9F" w:rsidRDefault="005A61B1" w:rsidP="00253505">
    <w:pPr>
      <w:pStyle w:val="Piedepgina"/>
      <w:rPr>
        <w:rFonts w:ascii="Arial Narrow" w:hAnsi="Arial Narrow"/>
      </w:rPr>
    </w:pPr>
    <w:r w:rsidRPr="004D1D9F">
      <w:rPr>
        <w:rFonts w:ascii="Arial Narrow" w:hAnsi="Arial Narrow"/>
        <w:sz w:val="16"/>
      </w:rPr>
      <w:t>A</w:t>
    </w:r>
    <w:r>
      <w:rPr>
        <w:rFonts w:ascii="Arial Narrow" w:hAnsi="Arial Narrow"/>
        <w:sz w:val="16"/>
      </w:rPr>
      <w:t xml:space="preserve"> </w:t>
    </w:r>
    <w:r w:rsidRPr="004D1D9F">
      <w:rPr>
        <w:rFonts w:ascii="Arial Narrow" w:hAnsi="Arial Narrow"/>
        <w:sz w:val="16"/>
      </w:rPr>
      <w:t>sectorial</w:t>
    </w:r>
    <w:r>
      <w:rPr>
        <w:rFonts w:ascii="Arial Narrow" w:hAnsi="Arial Narrow"/>
        <w:sz w:val="16"/>
      </w:rPr>
      <w:t xml:space="preserve"> </w:t>
    </w:r>
    <w:r w:rsidRPr="004D1D9F">
      <w:rPr>
        <w:rFonts w:ascii="Arial Narrow" w:hAnsi="Arial Narrow"/>
        <w:sz w:val="16"/>
      </w:rPr>
      <w:t>\</w:t>
    </w:r>
    <w:r>
      <w:rPr>
        <w:rFonts w:ascii="Arial Narrow" w:hAnsi="Arial Narrow"/>
        <w:sz w:val="16"/>
      </w:rPr>
      <w:t xml:space="preserve"> </w:t>
    </w:r>
    <w:r w:rsidRPr="004D1D9F">
      <w:rPr>
        <w:rFonts w:ascii="Arial Narrow" w:hAnsi="Arial Narrow"/>
        <w:sz w:val="16"/>
      </w:rPr>
      <w:t>minutas\minutas_20</w:t>
    </w:r>
    <w:r>
      <w:rPr>
        <w:rFonts w:ascii="Arial Narrow" w:hAnsi="Arial Narrow"/>
        <w:sz w:val="16"/>
      </w:rPr>
      <w:t>2</w:t>
    </w:r>
    <w:r w:rsidR="004E0114">
      <w:rPr>
        <w:rFonts w:ascii="Arial Narrow" w:hAnsi="Arial Narrow"/>
        <w:sz w:val="16"/>
      </w:rPr>
      <w:t>4</w:t>
    </w:r>
    <w:r w:rsidRPr="004D1D9F">
      <w:rPr>
        <w:rFonts w:ascii="Arial Narrow" w:hAnsi="Arial Narrow"/>
        <w:sz w:val="16"/>
      </w:rPr>
      <w:t xml:space="preserve">   </w:t>
    </w:r>
  </w:p>
  <w:p w14:paraId="1465E480" w14:textId="77777777" w:rsidR="005A61B1" w:rsidRDefault="005A61B1">
    <w:pPr>
      <w:pStyle w:val="Piedepgin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9CF31" w14:textId="77777777" w:rsidR="005A61B1" w:rsidRDefault="005A61B1">
      <w:r>
        <w:separator/>
      </w:r>
    </w:p>
  </w:footnote>
  <w:footnote w:type="continuationSeparator" w:id="0">
    <w:p w14:paraId="7AA4FA7C" w14:textId="77777777" w:rsidR="005A61B1" w:rsidRDefault="005A61B1">
      <w:r>
        <w:continuationSeparator/>
      </w:r>
    </w:p>
  </w:footnote>
  <w:footnote w:id="1">
    <w:p w14:paraId="5A19C70D" w14:textId="66DEBEE7" w:rsidR="00845B09" w:rsidRPr="00845B09" w:rsidRDefault="00845B09">
      <w:pPr>
        <w:pStyle w:val="Textonotapie"/>
        <w:rPr>
          <w:rFonts w:ascii="gobCL" w:hAnsi="gobCL"/>
        </w:rPr>
      </w:pPr>
      <w:r w:rsidRPr="00845B09">
        <w:rPr>
          <w:rStyle w:val="Refdenotaalpie"/>
          <w:rFonts w:ascii="gobCL" w:hAnsi="gobCL"/>
          <w:sz w:val="14"/>
          <w:szCs w:val="14"/>
        </w:rPr>
        <w:footnoteRef/>
      </w:r>
      <w:r w:rsidRPr="00845B09">
        <w:rPr>
          <w:rFonts w:ascii="gobCL" w:hAnsi="gobCL"/>
          <w:sz w:val="14"/>
          <w:szCs w:val="14"/>
        </w:rPr>
        <w:t xml:space="preserve"> RPESQ 177-2023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E3698" w14:textId="77777777" w:rsidR="005A61B1" w:rsidRDefault="005A61B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B513AC9" w14:textId="77777777" w:rsidR="005A61B1" w:rsidRDefault="005A61B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08EF5" w14:textId="77777777" w:rsidR="005A61B1" w:rsidRDefault="005A61B1">
    <w:pPr>
      <w:pStyle w:val="Encabezado"/>
      <w:ind w:right="360"/>
    </w:pPr>
  </w:p>
  <w:p w14:paraId="29693348" w14:textId="0221C651" w:rsidR="005A61B1" w:rsidRPr="009B7B77" w:rsidRDefault="005A61B1" w:rsidP="009B7B77">
    <w:pPr>
      <w:pStyle w:val="Encabezado"/>
      <w:framePr w:wrap="around" w:vAnchor="text" w:hAnchor="page" w:x="10542" w:y="87"/>
      <w:rPr>
        <w:rStyle w:val="Nmerodepgina"/>
        <w:rFonts w:ascii="gobCL" w:hAnsi="gobCL"/>
        <w:sz w:val="18"/>
        <w:szCs w:val="18"/>
      </w:rPr>
    </w:pPr>
    <w:r w:rsidRPr="009B7B77">
      <w:rPr>
        <w:rStyle w:val="Nmerodepgina"/>
        <w:rFonts w:ascii="gobCL" w:hAnsi="gobCL"/>
        <w:sz w:val="18"/>
        <w:szCs w:val="18"/>
      </w:rPr>
      <w:fldChar w:fldCharType="begin"/>
    </w:r>
    <w:r w:rsidRPr="009B7B77">
      <w:rPr>
        <w:rStyle w:val="Nmerodepgina"/>
        <w:rFonts w:ascii="gobCL" w:hAnsi="gobCL"/>
        <w:sz w:val="18"/>
        <w:szCs w:val="18"/>
      </w:rPr>
      <w:instrText xml:space="preserve">PAGE  </w:instrText>
    </w:r>
    <w:r w:rsidRPr="009B7B77">
      <w:rPr>
        <w:rStyle w:val="Nmerodepgina"/>
        <w:rFonts w:ascii="gobCL" w:hAnsi="gobCL"/>
        <w:sz w:val="18"/>
        <w:szCs w:val="18"/>
      </w:rPr>
      <w:fldChar w:fldCharType="separate"/>
    </w:r>
    <w:r w:rsidR="00875CF3">
      <w:rPr>
        <w:rStyle w:val="Nmerodepgina"/>
        <w:rFonts w:ascii="gobCL" w:hAnsi="gobCL"/>
        <w:noProof/>
        <w:sz w:val="18"/>
        <w:szCs w:val="18"/>
      </w:rPr>
      <w:t>11</w:t>
    </w:r>
    <w:r w:rsidRPr="009B7B77">
      <w:rPr>
        <w:rStyle w:val="Nmerodepgina"/>
        <w:rFonts w:ascii="gobCL" w:hAnsi="gobCL"/>
        <w:sz w:val="18"/>
        <w:szCs w:val="18"/>
      </w:rPr>
      <w:fldChar w:fldCharType="end"/>
    </w:r>
  </w:p>
  <w:p w14:paraId="43E128BF" w14:textId="77777777" w:rsidR="005A61B1" w:rsidRDefault="005A61B1">
    <w:pPr>
      <w:pStyle w:val="Encabezado"/>
    </w:pPr>
    <w:r>
      <w:rPr>
        <w:noProof/>
        <w:lang w:val="es-CL" w:eastAsia="es-CL"/>
      </w:rPr>
      <w:drawing>
        <wp:inline distT="0" distB="0" distL="0" distR="0" wp14:anchorId="5F8522A9" wp14:editId="3FA9B28E">
          <wp:extent cx="1111667" cy="863194"/>
          <wp:effectExtent l="0" t="0" r="0" b="0"/>
          <wp:docPr id="1" name="Imagen 1" descr="Logo_para_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para_mai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588" cy="8654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00EFBA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1C52AA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F6C46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EA127A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A8160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40378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9844F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5A97E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64629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98BB2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233B0"/>
    <w:multiLevelType w:val="singleLevel"/>
    <w:tmpl w:val="2692F5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03A345A2"/>
    <w:multiLevelType w:val="hybridMultilevel"/>
    <w:tmpl w:val="1F6CFC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6C2953"/>
    <w:multiLevelType w:val="hybridMultilevel"/>
    <w:tmpl w:val="7944C27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003F08"/>
    <w:multiLevelType w:val="hybridMultilevel"/>
    <w:tmpl w:val="DFDCBB24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F65A08"/>
    <w:multiLevelType w:val="hybridMultilevel"/>
    <w:tmpl w:val="6E983C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894D19"/>
    <w:multiLevelType w:val="hybridMultilevel"/>
    <w:tmpl w:val="DFDCBB24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600893"/>
    <w:multiLevelType w:val="hybridMultilevel"/>
    <w:tmpl w:val="4AE47A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F641CCB"/>
    <w:multiLevelType w:val="hybridMultilevel"/>
    <w:tmpl w:val="BBBE04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F7485A"/>
    <w:multiLevelType w:val="hybridMultilevel"/>
    <w:tmpl w:val="525ADF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963952"/>
    <w:multiLevelType w:val="hybridMultilevel"/>
    <w:tmpl w:val="A15E196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B0F3E17"/>
    <w:multiLevelType w:val="hybridMultilevel"/>
    <w:tmpl w:val="525ADF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FF81581"/>
    <w:multiLevelType w:val="hybridMultilevel"/>
    <w:tmpl w:val="3754D8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4C5C38"/>
    <w:multiLevelType w:val="hybridMultilevel"/>
    <w:tmpl w:val="233888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46311C"/>
    <w:multiLevelType w:val="hybridMultilevel"/>
    <w:tmpl w:val="BE4CF186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8066CF"/>
    <w:multiLevelType w:val="hybridMultilevel"/>
    <w:tmpl w:val="BF1C407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9DF010A"/>
    <w:multiLevelType w:val="hybridMultilevel"/>
    <w:tmpl w:val="23D896F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C8518D1"/>
    <w:multiLevelType w:val="hybridMultilevel"/>
    <w:tmpl w:val="5A6EB488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46678E8"/>
    <w:multiLevelType w:val="hybridMultilevel"/>
    <w:tmpl w:val="774062E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650B89"/>
    <w:multiLevelType w:val="hybridMultilevel"/>
    <w:tmpl w:val="71009F2A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0D">
      <w:start w:val="1"/>
      <w:numFmt w:val="bullet"/>
      <w:lvlText w:val="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 w15:restartNumberingAfterBreak="0">
    <w:nsid w:val="3A0D512F"/>
    <w:multiLevelType w:val="hybridMultilevel"/>
    <w:tmpl w:val="40A8E64A"/>
    <w:lvl w:ilvl="0" w:tplc="C4A0A58A">
      <w:numFmt w:val="bullet"/>
      <w:lvlText w:val="-"/>
      <w:lvlJc w:val="left"/>
      <w:pPr>
        <w:ind w:left="720" w:hanging="360"/>
      </w:pPr>
      <w:rPr>
        <w:rFonts w:ascii="gobCL" w:eastAsia="Times New Roman" w:hAnsi="gobC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B90FFA"/>
    <w:multiLevelType w:val="hybridMultilevel"/>
    <w:tmpl w:val="B18E27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EB1CA8"/>
    <w:multiLevelType w:val="hybridMultilevel"/>
    <w:tmpl w:val="FB487E6C"/>
    <w:lvl w:ilvl="0" w:tplc="5778170C">
      <w:start w:val="1"/>
      <w:numFmt w:val="bullet"/>
      <w:lvlText w:val="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146965"/>
    <w:multiLevelType w:val="hybridMultilevel"/>
    <w:tmpl w:val="4D70111A"/>
    <w:lvl w:ilvl="0" w:tplc="5778170C">
      <w:start w:val="1"/>
      <w:numFmt w:val="bullet"/>
      <w:lvlText w:val="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BD5B35"/>
    <w:multiLevelType w:val="hybridMultilevel"/>
    <w:tmpl w:val="525ADF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A642B93"/>
    <w:multiLevelType w:val="hybridMultilevel"/>
    <w:tmpl w:val="7EB2D866"/>
    <w:lvl w:ilvl="0" w:tplc="7B3C5092">
      <w:start w:val="1"/>
      <w:numFmt w:val="lowerLetter"/>
      <w:lvlText w:val="%1)"/>
      <w:lvlJc w:val="left"/>
      <w:pPr>
        <w:ind w:left="765" w:hanging="360"/>
      </w:pPr>
      <w:rPr>
        <w:rFonts w:ascii="gobCL" w:hAnsi="gobCL" w:hint="default"/>
      </w:r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 w15:restartNumberingAfterBreak="0">
    <w:nsid w:val="4EFE2421"/>
    <w:multiLevelType w:val="hybridMultilevel"/>
    <w:tmpl w:val="3562585A"/>
    <w:lvl w:ilvl="0" w:tplc="7486B748">
      <w:numFmt w:val="bullet"/>
      <w:lvlText w:val="-"/>
      <w:lvlJc w:val="left"/>
      <w:pPr>
        <w:ind w:left="720" w:hanging="360"/>
      </w:pPr>
      <w:rPr>
        <w:rFonts w:ascii="gobCL" w:eastAsia="Times New Roman" w:hAnsi="gobC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AE7E5E"/>
    <w:multiLevelType w:val="hybridMultilevel"/>
    <w:tmpl w:val="43C4036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2084825"/>
    <w:multiLevelType w:val="hybridMultilevel"/>
    <w:tmpl w:val="04C66B1C"/>
    <w:lvl w:ilvl="0" w:tplc="46AA7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902FA9"/>
    <w:multiLevelType w:val="hybridMultilevel"/>
    <w:tmpl w:val="525ADF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9B2083"/>
    <w:multiLevelType w:val="hybridMultilevel"/>
    <w:tmpl w:val="43C4036C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CFE505E"/>
    <w:multiLevelType w:val="hybridMultilevel"/>
    <w:tmpl w:val="D102BD4C"/>
    <w:lvl w:ilvl="0" w:tplc="5778170C">
      <w:start w:val="1"/>
      <w:numFmt w:val="bullet"/>
      <w:lvlText w:val="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2C2575"/>
    <w:multiLevelType w:val="hybridMultilevel"/>
    <w:tmpl w:val="5A6EB48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31577B0"/>
    <w:multiLevelType w:val="hybridMultilevel"/>
    <w:tmpl w:val="C4FEF348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3335F61"/>
    <w:multiLevelType w:val="hybridMultilevel"/>
    <w:tmpl w:val="A2B8E22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78F2688"/>
    <w:multiLevelType w:val="hybridMultilevel"/>
    <w:tmpl w:val="86DADA98"/>
    <w:lvl w:ilvl="0" w:tplc="A0C66ECA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9ED08D8"/>
    <w:multiLevelType w:val="hybridMultilevel"/>
    <w:tmpl w:val="DB029F5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822C25"/>
    <w:multiLevelType w:val="hybridMultilevel"/>
    <w:tmpl w:val="97763718"/>
    <w:lvl w:ilvl="0" w:tplc="5778170C">
      <w:start w:val="1"/>
      <w:numFmt w:val="bullet"/>
      <w:lvlText w:val="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C14734"/>
    <w:multiLevelType w:val="hybridMultilevel"/>
    <w:tmpl w:val="D7AC837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5E3D38"/>
    <w:multiLevelType w:val="hybridMultilevel"/>
    <w:tmpl w:val="BE4CF186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BF11697"/>
    <w:multiLevelType w:val="hybridMultilevel"/>
    <w:tmpl w:val="AFAC0DAC"/>
    <w:lvl w:ilvl="0" w:tplc="5778170C">
      <w:start w:val="1"/>
      <w:numFmt w:val="bullet"/>
      <w:lvlText w:val="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4318743">
    <w:abstractNumId w:val="10"/>
  </w:num>
  <w:num w:numId="2" w16cid:durableId="923993287">
    <w:abstractNumId w:val="45"/>
  </w:num>
  <w:num w:numId="3" w16cid:durableId="293872837">
    <w:abstractNumId w:val="46"/>
  </w:num>
  <w:num w:numId="4" w16cid:durableId="1301498480">
    <w:abstractNumId w:val="49"/>
  </w:num>
  <w:num w:numId="5" w16cid:durableId="1498767741">
    <w:abstractNumId w:val="40"/>
  </w:num>
  <w:num w:numId="6" w16cid:durableId="1360549062">
    <w:abstractNumId w:val="32"/>
  </w:num>
  <w:num w:numId="7" w16cid:durableId="1841311215">
    <w:abstractNumId w:val="31"/>
  </w:num>
  <w:num w:numId="8" w16cid:durableId="1502428486">
    <w:abstractNumId w:val="8"/>
  </w:num>
  <w:num w:numId="9" w16cid:durableId="1554074879">
    <w:abstractNumId w:val="3"/>
  </w:num>
  <w:num w:numId="10" w16cid:durableId="1829705280">
    <w:abstractNumId w:val="2"/>
  </w:num>
  <w:num w:numId="11" w16cid:durableId="1497307527">
    <w:abstractNumId w:val="1"/>
  </w:num>
  <w:num w:numId="12" w16cid:durableId="1680350954">
    <w:abstractNumId w:val="0"/>
  </w:num>
  <w:num w:numId="13" w16cid:durableId="1564290412">
    <w:abstractNumId w:val="9"/>
  </w:num>
  <w:num w:numId="14" w16cid:durableId="17389157">
    <w:abstractNumId w:val="7"/>
  </w:num>
  <w:num w:numId="15" w16cid:durableId="1157500173">
    <w:abstractNumId w:val="6"/>
  </w:num>
  <w:num w:numId="16" w16cid:durableId="542209475">
    <w:abstractNumId w:val="5"/>
  </w:num>
  <w:num w:numId="17" w16cid:durableId="773330783">
    <w:abstractNumId w:val="4"/>
  </w:num>
  <w:num w:numId="18" w16cid:durableId="379281954">
    <w:abstractNumId w:val="25"/>
  </w:num>
  <w:num w:numId="19" w16cid:durableId="652291557">
    <w:abstractNumId w:val="43"/>
  </w:num>
  <w:num w:numId="20" w16cid:durableId="1979534792">
    <w:abstractNumId w:val="28"/>
  </w:num>
  <w:num w:numId="21" w16cid:durableId="241330545">
    <w:abstractNumId w:val="41"/>
  </w:num>
  <w:num w:numId="22" w16cid:durableId="1006245437">
    <w:abstractNumId w:val="26"/>
  </w:num>
  <w:num w:numId="23" w16cid:durableId="717359809">
    <w:abstractNumId w:val="48"/>
  </w:num>
  <w:num w:numId="24" w16cid:durableId="684670504">
    <w:abstractNumId w:val="23"/>
  </w:num>
  <w:num w:numId="25" w16cid:durableId="1664696936">
    <w:abstractNumId w:val="42"/>
  </w:num>
  <w:num w:numId="26" w16cid:durableId="957221052">
    <w:abstractNumId w:val="15"/>
  </w:num>
  <w:num w:numId="27" w16cid:durableId="1678120712">
    <w:abstractNumId w:val="13"/>
  </w:num>
  <w:num w:numId="28" w16cid:durableId="780611701">
    <w:abstractNumId w:val="36"/>
  </w:num>
  <w:num w:numId="29" w16cid:durableId="1683818827">
    <w:abstractNumId w:val="39"/>
  </w:num>
  <w:num w:numId="30" w16cid:durableId="2037541826">
    <w:abstractNumId w:val="24"/>
  </w:num>
  <w:num w:numId="31" w16cid:durableId="1465150556">
    <w:abstractNumId w:val="14"/>
  </w:num>
  <w:num w:numId="32" w16cid:durableId="1628705252">
    <w:abstractNumId w:val="11"/>
  </w:num>
  <w:num w:numId="33" w16cid:durableId="1915384944">
    <w:abstractNumId w:val="21"/>
  </w:num>
  <w:num w:numId="34" w16cid:durableId="837767665">
    <w:abstractNumId w:val="16"/>
  </w:num>
  <w:num w:numId="35" w16cid:durableId="1106583728">
    <w:abstractNumId w:val="19"/>
  </w:num>
  <w:num w:numId="36" w16cid:durableId="940382269">
    <w:abstractNumId w:val="22"/>
  </w:num>
  <w:num w:numId="37" w16cid:durableId="2726326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22346911">
    <w:abstractNumId w:val="20"/>
  </w:num>
  <w:num w:numId="39" w16cid:durableId="705910830">
    <w:abstractNumId w:val="29"/>
  </w:num>
  <w:num w:numId="40" w16cid:durableId="1868329004">
    <w:abstractNumId w:val="38"/>
  </w:num>
  <w:num w:numId="41" w16cid:durableId="2117747194">
    <w:abstractNumId w:val="35"/>
  </w:num>
  <w:num w:numId="42" w16cid:durableId="1452171277">
    <w:abstractNumId w:val="12"/>
  </w:num>
  <w:num w:numId="43" w16cid:durableId="1603607728">
    <w:abstractNumId w:val="18"/>
  </w:num>
  <w:num w:numId="44" w16cid:durableId="1125196896">
    <w:abstractNumId w:val="33"/>
  </w:num>
  <w:num w:numId="45" w16cid:durableId="418336823">
    <w:abstractNumId w:val="17"/>
  </w:num>
  <w:num w:numId="46" w16cid:durableId="603849122">
    <w:abstractNumId w:val="30"/>
  </w:num>
  <w:num w:numId="47" w16cid:durableId="1669364466">
    <w:abstractNumId w:val="34"/>
  </w:num>
  <w:num w:numId="48" w16cid:durableId="278535097">
    <w:abstractNumId w:val="47"/>
  </w:num>
  <w:num w:numId="49" w16cid:durableId="398790013">
    <w:abstractNumId w:val="27"/>
  </w:num>
  <w:num w:numId="50" w16cid:durableId="40271917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67"/>
    <w:rsid w:val="00001196"/>
    <w:rsid w:val="00004B2F"/>
    <w:rsid w:val="00011552"/>
    <w:rsid w:val="00022AAB"/>
    <w:rsid w:val="00022E0B"/>
    <w:rsid w:val="0002324B"/>
    <w:rsid w:val="00025F07"/>
    <w:rsid w:val="000308E5"/>
    <w:rsid w:val="00032A71"/>
    <w:rsid w:val="00036A59"/>
    <w:rsid w:val="00040CE9"/>
    <w:rsid w:val="00041556"/>
    <w:rsid w:val="00046200"/>
    <w:rsid w:val="0005183B"/>
    <w:rsid w:val="00055A51"/>
    <w:rsid w:val="00056122"/>
    <w:rsid w:val="00061018"/>
    <w:rsid w:val="000700A5"/>
    <w:rsid w:val="0007158F"/>
    <w:rsid w:val="00073D14"/>
    <w:rsid w:val="00077A31"/>
    <w:rsid w:val="00081B76"/>
    <w:rsid w:val="00085600"/>
    <w:rsid w:val="000929A8"/>
    <w:rsid w:val="00093FB1"/>
    <w:rsid w:val="00096358"/>
    <w:rsid w:val="000978B0"/>
    <w:rsid w:val="000A32F2"/>
    <w:rsid w:val="000A4AD9"/>
    <w:rsid w:val="000A7509"/>
    <w:rsid w:val="000B0442"/>
    <w:rsid w:val="000C52DA"/>
    <w:rsid w:val="000D01BB"/>
    <w:rsid w:val="000D5A57"/>
    <w:rsid w:val="000E0ED7"/>
    <w:rsid w:val="000E1545"/>
    <w:rsid w:val="000E191A"/>
    <w:rsid w:val="000E6118"/>
    <w:rsid w:val="000F09C4"/>
    <w:rsid w:val="000F33E1"/>
    <w:rsid w:val="000F70E3"/>
    <w:rsid w:val="00100291"/>
    <w:rsid w:val="0010473A"/>
    <w:rsid w:val="00104829"/>
    <w:rsid w:val="001048F5"/>
    <w:rsid w:val="00110F54"/>
    <w:rsid w:val="0011496C"/>
    <w:rsid w:val="0011705B"/>
    <w:rsid w:val="001209BB"/>
    <w:rsid w:val="001261BE"/>
    <w:rsid w:val="00127CAB"/>
    <w:rsid w:val="001302A1"/>
    <w:rsid w:val="00130FDC"/>
    <w:rsid w:val="00134836"/>
    <w:rsid w:val="00136345"/>
    <w:rsid w:val="00137569"/>
    <w:rsid w:val="00146ECD"/>
    <w:rsid w:val="00150458"/>
    <w:rsid w:val="00152985"/>
    <w:rsid w:val="00153302"/>
    <w:rsid w:val="00154A12"/>
    <w:rsid w:val="00162887"/>
    <w:rsid w:val="00180C8A"/>
    <w:rsid w:val="00193847"/>
    <w:rsid w:val="001948F1"/>
    <w:rsid w:val="00195105"/>
    <w:rsid w:val="001A1A86"/>
    <w:rsid w:val="001A44F5"/>
    <w:rsid w:val="001A46A0"/>
    <w:rsid w:val="001A604F"/>
    <w:rsid w:val="001B0FC0"/>
    <w:rsid w:val="001B2865"/>
    <w:rsid w:val="001B383F"/>
    <w:rsid w:val="001B4150"/>
    <w:rsid w:val="001C0513"/>
    <w:rsid w:val="001E340D"/>
    <w:rsid w:val="001E4BBF"/>
    <w:rsid w:val="001E608E"/>
    <w:rsid w:val="001F3AFD"/>
    <w:rsid w:val="001F5824"/>
    <w:rsid w:val="001F6CBF"/>
    <w:rsid w:val="002018B7"/>
    <w:rsid w:val="002027A7"/>
    <w:rsid w:val="002055F3"/>
    <w:rsid w:val="002070B7"/>
    <w:rsid w:val="00211F97"/>
    <w:rsid w:val="00217A47"/>
    <w:rsid w:val="00220C93"/>
    <w:rsid w:val="00220D42"/>
    <w:rsid w:val="002210BE"/>
    <w:rsid w:val="002226E8"/>
    <w:rsid w:val="002239DE"/>
    <w:rsid w:val="00226567"/>
    <w:rsid w:val="00231261"/>
    <w:rsid w:val="00237714"/>
    <w:rsid w:val="002430ED"/>
    <w:rsid w:val="00244055"/>
    <w:rsid w:val="00244BFF"/>
    <w:rsid w:val="00246F27"/>
    <w:rsid w:val="00253505"/>
    <w:rsid w:val="00254674"/>
    <w:rsid w:val="00254A3B"/>
    <w:rsid w:val="00257424"/>
    <w:rsid w:val="00257597"/>
    <w:rsid w:val="002614FA"/>
    <w:rsid w:val="00270C61"/>
    <w:rsid w:val="00280740"/>
    <w:rsid w:val="0028593B"/>
    <w:rsid w:val="002861CF"/>
    <w:rsid w:val="0028624F"/>
    <w:rsid w:val="002977FB"/>
    <w:rsid w:val="002A5F1C"/>
    <w:rsid w:val="002B2A94"/>
    <w:rsid w:val="002B4865"/>
    <w:rsid w:val="002C1586"/>
    <w:rsid w:val="002C2C06"/>
    <w:rsid w:val="002D3DD7"/>
    <w:rsid w:val="002D40CD"/>
    <w:rsid w:val="002D4556"/>
    <w:rsid w:val="002D73B7"/>
    <w:rsid w:val="002E0114"/>
    <w:rsid w:val="002E050B"/>
    <w:rsid w:val="002E2439"/>
    <w:rsid w:val="002E6E3F"/>
    <w:rsid w:val="002E7AE0"/>
    <w:rsid w:val="002F0CB1"/>
    <w:rsid w:val="002F1BDE"/>
    <w:rsid w:val="002F414A"/>
    <w:rsid w:val="002F696B"/>
    <w:rsid w:val="002F7473"/>
    <w:rsid w:val="00300B9E"/>
    <w:rsid w:val="0031018E"/>
    <w:rsid w:val="00314902"/>
    <w:rsid w:val="00315CDA"/>
    <w:rsid w:val="0032383B"/>
    <w:rsid w:val="00324478"/>
    <w:rsid w:val="00326322"/>
    <w:rsid w:val="00326DDB"/>
    <w:rsid w:val="003317EE"/>
    <w:rsid w:val="00332EAB"/>
    <w:rsid w:val="00337620"/>
    <w:rsid w:val="003420B2"/>
    <w:rsid w:val="003464D7"/>
    <w:rsid w:val="0036112F"/>
    <w:rsid w:val="00362E72"/>
    <w:rsid w:val="00376499"/>
    <w:rsid w:val="00387B23"/>
    <w:rsid w:val="00390387"/>
    <w:rsid w:val="0039293F"/>
    <w:rsid w:val="0039445F"/>
    <w:rsid w:val="00394482"/>
    <w:rsid w:val="003978D2"/>
    <w:rsid w:val="003A63A4"/>
    <w:rsid w:val="003B2D81"/>
    <w:rsid w:val="003B6BAE"/>
    <w:rsid w:val="003B7D6D"/>
    <w:rsid w:val="003C2D67"/>
    <w:rsid w:val="003C530E"/>
    <w:rsid w:val="003C5852"/>
    <w:rsid w:val="003D2853"/>
    <w:rsid w:val="003D4757"/>
    <w:rsid w:val="003D79A0"/>
    <w:rsid w:val="003E0FF1"/>
    <w:rsid w:val="003E10D8"/>
    <w:rsid w:val="003E2788"/>
    <w:rsid w:val="003E2EB1"/>
    <w:rsid w:val="003F044B"/>
    <w:rsid w:val="003F3BFC"/>
    <w:rsid w:val="003F4616"/>
    <w:rsid w:val="003F4EE6"/>
    <w:rsid w:val="003F7740"/>
    <w:rsid w:val="00402262"/>
    <w:rsid w:val="00411A32"/>
    <w:rsid w:val="00412223"/>
    <w:rsid w:val="0042642C"/>
    <w:rsid w:val="00427425"/>
    <w:rsid w:val="004277C0"/>
    <w:rsid w:val="004306DD"/>
    <w:rsid w:val="00436B1A"/>
    <w:rsid w:val="00441C87"/>
    <w:rsid w:val="00453BCC"/>
    <w:rsid w:val="00454735"/>
    <w:rsid w:val="0045673A"/>
    <w:rsid w:val="004615BE"/>
    <w:rsid w:val="004624D7"/>
    <w:rsid w:val="00464094"/>
    <w:rsid w:val="00464CF3"/>
    <w:rsid w:val="00470A66"/>
    <w:rsid w:val="00470DA8"/>
    <w:rsid w:val="00473B2A"/>
    <w:rsid w:val="00485629"/>
    <w:rsid w:val="00487886"/>
    <w:rsid w:val="00491838"/>
    <w:rsid w:val="0049376B"/>
    <w:rsid w:val="00494B8C"/>
    <w:rsid w:val="004A1982"/>
    <w:rsid w:val="004A4F5D"/>
    <w:rsid w:val="004A50FF"/>
    <w:rsid w:val="004B2A5F"/>
    <w:rsid w:val="004B2D32"/>
    <w:rsid w:val="004B55A6"/>
    <w:rsid w:val="004B75A6"/>
    <w:rsid w:val="004C0AF3"/>
    <w:rsid w:val="004C52BA"/>
    <w:rsid w:val="004C7439"/>
    <w:rsid w:val="004D0245"/>
    <w:rsid w:val="004D1D9F"/>
    <w:rsid w:val="004D41B4"/>
    <w:rsid w:val="004D628D"/>
    <w:rsid w:val="004D7BDA"/>
    <w:rsid w:val="004E0114"/>
    <w:rsid w:val="004E094B"/>
    <w:rsid w:val="004E12F7"/>
    <w:rsid w:val="004E241D"/>
    <w:rsid w:val="004E48E4"/>
    <w:rsid w:val="004E7377"/>
    <w:rsid w:val="004E7E7B"/>
    <w:rsid w:val="004F1229"/>
    <w:rsid w:val="004F1C6C"/>
    <w:rsid w:val="004F64E2"/>
    <w:rsid w:val="004F778B"/>
    <w:rsid w:val="004F7E8E"/>
    <w:rsid w:val="00511A23"/>
    <w:rsid w:val="005161FA"/>
    <w:rsid w:val="0052018C"/>
    <w:rsid w:val="00524CC3"/>
    <w:rsid w:val="00525EC1"/>
    <w:rsid w:val="00533706"/>
    <w:rsid w:val="005401DA"/>
    <w:rsid w:val="00542CF1"/>
    <w:rsid w:val="00544DD6"/>
    <w:rsid w:val="00552CA6"/>
    <w:rsid w:val="005639C0"/>
    <w:rsid w:val="00572F13"/>
    <w:rsid w:val="00580D7A"/>
    <w:rsid w:val="005869B5"/>
    <w:rsid w:val="00593AF2"/>
    <w:rsid w:val="00593EEE"/>
    <w:rsid w:val="005A0BF9"/>
    <w:rsid w:val="005A458E"/>
    <w:rsid w:val="005A61B1"/>
    <w:rsid w:val="005A6B30"/>
    <w:rsid w:val="005B340E"/>
    <w:rsid w:val="005B63F3"/>
    <w:rsid w:val="005B7378"/>
    <w:rsid w:val="005C6CA9"/>
    <w:rsid w:val="005D0A67"/>
    <w:rsid w:val="005D0C6C"/>
    <w:rsid w:val="005D29DF"/>
    <w:rsid w:val="005D45DE"/>
    <w:rsid w:val="005D5685"/>
    <w:rsid w:val="005D6D9F"/>
    <w:rsid w:val="005D767F"/>
    <w:rsid w:val="005D7ABA"/>
    <w:rsid w:val="005E401F"/>
    <w:rsid w:val="005E55CA"/>
    <w:rsid w:val="005F2BB2"/>
    <w:rsid w:val="005F4E9C"/>
    <w:rsid w:val="005F7A48"/>
    <w:rsid w:val="005F7A52"/>
    <w:rsid w:val="00605257"/>
    <w:rsid w:val="00605CD3"/>
    <w:rsid w:val="00613748"/>
    <w:rsid w:val="006169CC"/>
    <w:rsid w:val="006177BC"/>
    <w:rsid w:val="00622A02"/>
    <w:rsid w:val="00623BA1"/>
    <w:rsid w:val="006244D0"/>
    <w:rsid w:val="0063336B"/>
    <w:rsid w:val="00637B67"/>
    <w:rsid w:val="00641540"/>
    <w:rsid w:val="0065077A"/>
    <w:rsid w:val="00652EDD"/>
    <w:rsid w:val="00656F97"/>
    <w:rsid w:val="00657C2F"/>
    <w:rsid w:val="00657E31"/>
    <w:rsid w:val="00660C7A"/>
    <w:rsid w:val="006637F9"/>
    <w:rsid w:val="006663A4"/>
    <w:rsid w:val="00671833"/>
    <w:rsid w:val="00684383"/>
    <w:rsid w:val="0068520D"/>
    <w:rsid w:val="006853B8"/>
    <w:rsid w:val="00685A74"/>
    <w:rsid w:val="00686174"/>
    <w:rsid w:val="0069101A"/>
    <w:rsid w:val="00692C86"/>
    <w:rsid w:val="00695EFB"/>
    <w:rsid w:val="006A3A71"/>
    <w:rsid w:val="006B285F"/>
    <w:rsid w:val="006B61A8"/>
    <w:rsid w:val="006C1656"/>
    <w:rsid w:val="006C66D8"/>
    <w:rsid w:val="006D2592"/>
    <w:rsid w:val="006D3609"/>
    <w:rsid w:val="006D7588"/>
    <w:rsid w:val="006E5452"/>
    <w:rsid w:val="006E6342"/>
    <w:rsid w:val="006F4091"/>
    <w:rsid w:val="00707E67"/>
    <w:rsid w:val="0071194C"/>
    <w:rsid w:val="00713781"/>
    <w:rsid w:val="007224D7"/>
    <w:rsid w:val="00723AFC"/>
    <w:rsid w:val="00723F16"/>
    <w:rsid w:val="00724313"/>
    <w:rsid w:val="007263D8"/>
    <w:rsid w:val="0073010E"/>
    <w:rsid w:val="007338EB"/>
    <w:rsid w:val="00736F0E"/>
    <w:rsid w:val="00741D52"/>
    <w:rsid w:val="00744EB3"/>
    <w:rsid w:val="007512CC"/>
    <w:rsid w:val="0075678C"/>
    <w:rsid w:val="00761B48"/>
    <w:rsid w:val="007657D5"/>
    <w:rsid w:val="00767269"/>
    <w:rsid w:val="00770123"/>
    <w:rsid w:val="00771FF2"/>
    <w:rsid w:val="00775803"/>
    <w:rsid w:val="00775B82"/>
    <w:rsid w:val="00780648"/>
    <w:rsid w:val="007828F0"/>
    <w:rsid w:val="00793DBF"/>
    <w:rsid w:val="007B05A8"/>
    <w:rsid w:val="007B3088"/>
    <w:rsid w:val="007B667A"/>
    <w:rsid w:val="007C1E96"/>
    <w:rsid w:val="007C588F"/>
    <w:rsid w:val="007C6CBB"/>
    <w:rsid w:val="007D316A"/>
    <w:rsid w:val="007D4168"/>
    <w:rsid w:val="007D60C1"/>
    <w:rsid w:val="007D68B4"/>
    <w:rsid w:val="007E2306"/>
    <w:rsid w:val="007E29BA"/>
    <w:rsid w:val="007F01E7"/>
    <w:rsid w:val="007F0B6C"/>
    <w:rsid w:val="007F100F"/>
    <w:rsid w:val="00801292"/>
    <w:rsid w:val="00803CBE"/>
    <w:rsid w:val="00806EF9"/>
    <w:rsid w:val="008134EA"/>
    <w:rsid w:val="008155AC"/>
    <w:rsid w:val="00821EC9"/>
    <w:rsid w:val="00824330"/>
    <w:rsid w:val="00825D9F"/>
    <w:rsid w:val="008325C6"/>
    <w:rsid w:val="00841AEE"/>
    <w:rsid w:val="00845B09"/>
    <w:rsid w:val="00862995"/>
    <w:rsid w:val="00862EBD"/>
    <w:rsid w:val="008659DC"/>
    <w:rsid w:val="00871091"/>
    <w:rsid w:val="00871AB6"/>
    <w:rsid w:val="008747C3"/>
    <w:rsid w:val="0087490A"/>
    <w:rsid w:val="008756A2"/>
    <w:rsid w:val="00875CF3"/>
    <w:rsid w:val="00881926"/>
    <w:rsid w:val="00886E89"/>
    <w:rsid w:val="00887402"/>
    <w:rsid w:val="00893371"/>
    <w:rsid w:val="00894BBD"/>
    <w:rsid w:val="008A29E2"/>
    <w:rsid w:val="008A49B9"/>
    <w:rsid w:val="008A5008"/>
    <w:rsid w:val="008B0E2F"/>
    <w:rsid w:val="008B4211"/>
    <w:rsid w:val="008B69EF"/>
    <w:rsid w:val="008C68E3"/>
    <w:rsid w:val="008D6104"/>
    <w:rsid w:val="008D6866"/>
    <w:rsid w:val="008D729C"/>
    <w:rsid w:val="008E4F8B"/>
    <w:rsid w:val="008F5BC4"/>
    <w:rsid w:val="00905C58"/>
    <w:rsid w:val="00920CBC"/>
    <w:rsid w:val="0092395E"/>
    <w:rsid w:val="009251F9"/>
    <w:rsid w:val="009305BC"/>
    <w:rsid w:val="0093552E"/>
    <w:rsid w:val="00936463"/>
    <w:rsid w:val="00941166"/>
    <w:rsid w:val="00941D07"/>
    <w:rsid w:val="009442E4"/>
    <w:rsid w:val="009448BF"/>
    <w:rsid w:val="009459A2"/>
    <w:rsid w:val="009459F1"/>
    <w:rsid w:val="00954691"/>
    <w:rsid w:val="00956570"/>
    <w:rsid w:val="0096694B"/>
    <w:rsid w:val="00971CF2"/>
    <w:rsid w:val="00991C1A"/>
    <w:rsid w:val="00995611"/>
    <w:rsid w:val="009957C6"/>
    <w:rsid w:val="00996583"/>
    <w:rsid w:val="00997418"/>
    <w:rsid w:val="009A09F4"/>
    <w:rsid w:val="009A1104"/>
    <w:rsid w:val="009A72B5"/>
    <w:rsid w:val="009A7A82"/>
    <w:rsid w:val="009B2F1E"/>
    <w:rsid w:val="009B389F"/>
    <w:rsid w:val="009B476F"/>
    <w:rsid w:val="009B4D66"/>
    <w:rsid w:val="009B5A30"/>
    <w:rsid w:val="009B7B77"/>
    <w:rsid w:val="009B7C92"/>
    <w:rsid w:val="009C5D57"/>
    <w:rsid w:val="009D0D27"/>
    <w:rsid w:val="009D3947"/>
    <w:rsid w:val="009D7BDD"/>
    <w:rsid w:val="009E4366"/>
    <w:rsid w:val="009E6BAC"/>
    <w:rsid w:val="009F0967"/>
    <w:rsid w:val="009F1A68"/>
    <w:rsid w:val="009F45B4"/>
    <w:rsid w:val="009F66D9"/>
    <w:rsid w:val="00A02A99"/>
    <w:rsid w:val="00A03CC0"/>
    <w:rsid w:val="00A0609F"/>
    <w:rsid w:val="00A104ED"/>
    <w:rsid w:val="00A133D2"/>
    <w:rsid w:val="00A16188"/>
    <w:rsid w:val="00A16A51"/>
    <w:rsid w:val="00A178BA"/>
    <w:rsid w:val="00A21860"/>
    <w:rsid w:val="00A27AF4"/>
    <w:rsid w:val="00A30781"/>
    <w:rsid w:val="00A3229D"/>
    <w:rsid w:val="00A43300"/>
    <w:rsid w:val="00A52A6B"/>
    <w:rsid w:val="00A54E84"/>
    <w:rsid w:val="00A60DA3"/>
    <w:rsid w:val="00A65359"/>
    <w:rsid w:val="00A6563D"/>
    <w:rsid w:val="00A66581"/>
    <w:rsid w:val="00A71500"/>
    <w:rsid w:val="00A71A7E"/>
    <w:rsid w:val="00A85CEA"/>
    <w:rsid w:val="00A9155A"/>
    <w:rsid w:val="00A9369E"/>
    <w:rsid w:val="00AA017E"/>
    <w:rsid w:val="00AA07BB"/>
    <w:rsid w:val="00AA7F10"/>
    <w:rsid w:val="00AB0C9B"/>
    <w:rsid w:val="00AB2149"/>
    <w:rsid w:val="00AB38F4"/>
    <w:rsid w:val="00AB595D"/>
    <w:rsid w:val="00AC3677"/>
    <w:rsid w:val="00AC3CA4"/>
    <w:rsid w:val="00AC470E"/>
    <w:rsid w:val="00AC6978"/>
    <w:rsid w:val="00AD152E"/>
    <w:rsid w:val="00AD227F"/>
    <w:rsid w:val="00AE2124"/>
    <w:rsid w:val="00AE269A"/>
    <w:rsid w:val="00AE6815"/>
    <w:rsid w:val="00AE7589"/>
    <w:rsid w:val="00B005AB"/>
    <w:rsid w:val="00B0090E"/>
    <w:rsid w:val="00B00B14"/>
    <w:rsid w:val="00B01259"/>
    <w:rsid w:val="00B047EC"/>
    <w:rsid w:val="00B16353"/>
    <w:rsid w:val="00B23297"/>
    <w:rsid w:val="00B25DAC"/>
    <w:rsid w:val="00B45A63"/>
    <w:rsid w:val="00B469C8"/>
    <w:rsid w:val="00B5104D"/>
    <w:rsid w:val="00B5348D"/>
    <w:rsid w:val="00B574AF"/>
    <w:rsid w:val="00B61CBE"/>
    <w:rsid w:val="00B624E8"/>
    <w:rsid w:val="00B63A98"/>
    <w:rsid w:val="00B659F0"/>
    <w:rsid w:val="00B73157"/>
    <w:rsid w:val="00B73B87"/>
    <w:rsid w:val="00B75A33"/>
    <w:rsid w:val="00B76453"/>
    <w:rsid w:val="00B80345"/>
    <w:rsid w:val="00B8488F"/>
    <w:rsid w:val="00B96F87"/>
    <w:rsid w:val="00BA33EB"/>
    <w:rsid w:val="00BA3813"/>
    <w:rsid w:val="00BB3CFA"/>
    <w:rsid w:val="00BC2CF0"/>
    <w:rsid w:val="00BD7EB7"/>
    <w:rsid w:val="00BE14A1"/>
    <w:rsid w:val="00BE40BE"/>
    <w:rsid w:val="00BE5720"/>
    <w:rsid w:val="00BE584D"/>
    <w:rsid w:val="00BF2C98"/>
    <w:rsid w:val="00BF721F"/>
    <w:rsid w:val="00C06979"/>
    <w:rsid w:val="00C10851"/>
    <w:rsid w:val="00C15319"/>
    <w:rsid w:val="00C24552"/>
    <w:rsid w:val="00C25323"/>
    <w:rsid w:val="00C31788"/>
    <w:rsid w:val="00C5402A"/>
    <w:rsid w:val="00C545C0"/>
    <w:rsid w:val="00C57585"/>
    <w:rsid w:val="00C63948"/>
    <w:rsid w:val="00C63B26"/>
    <w:rsid w:val="00C64DCD"/>
    <w:rsid w:val="00C66BDB"/>
    <w:rsid w:val="00C80CB2"/>
    <w:rsid w:val="00C8197E"/>
    <w:rsid w:val="00C86EEA"/>
    <w:rsid w:val="00C87DFB"/>
    <w:rsid w:val="00C90D21"/>
    <w:rsid w:val="00C90F14"/>
    <w:rsid w:val="00C95CA6"/>
    <w:rsid w:val="00CA0BCE"/>
    <w:rsid w:val="00CA155E"/>
    <w:rsid w:val="00CA3720"/>
    <w:rsid w:val="00CA4F99"/>
    <w:rsid w:val="00CA6E89"/>
    <w:rsid w:val="00CA798B"/>
    <w:rsid w:val="00CB0316"/>
    <w:rsid w:val="00CB2D84"/>
    <w:rsid w:val="00CB361C"/>
    <w:rsid w:val="00CB3CDB"/>
    <w:rsid w:val="00CB7115"/>
    <w:rsid w:val="00CB7F90"/>
    <w:rsid w:val="00CC0F19"/>
    <w:rsid w:val="00CC14F7"/>
    <w:rsid w:val="00CD1B0C"/>
    <w:rsid w:val="00CD1CF4"/>
    <w:rsid w:val="00CD2E79"/>
    <w:rsid w:val="00CD46B4"/>
    <w:rsid w:val="00CD5BCD"/>
    <w:rsid w:val="00CD7513"/>
    <w:rsid w:val="00CE0D74"/>
    <w:rsid w:val="00CE1362"/>
    <w:rsid w:val="00CE5A17"/>
    <w:rsid w:val="00CE70B8"/>
    <w:rsid w:val="00CF2C62"/>
    <w:rsid w:val="00CF6E10"/>
    <w:rsid w:val="00D02AEC"/>
    <w:rsid w:val="00D100C2"/>
    <w:rsid w:val="00D11EC9"/>
    <w:rsid w:val="00D13127"/>
    <w:rsid w:val="00D306C4"/>
    <w:rsid w:val="00D4402F"/>
    <w:rsid w:val="00D450CC"/>
    <w:rsid w:val="00D57C76"/>
    <w:rsid w:val="00D6197E"/>
    <w:rsid w:val="00D6498A"/>
    <w:rsid w:val="00D74894"/>
    <w:rsid w:val="00D7655B"/>
    <w:rsid w:val="00D76CDF"/>
    <w:rsid w:val="00D827F8"/>
    <w:rsid w:val="00D83BE8"/>
    <w:rsid w:val="00DA363D"/>
    <w:rsid w:val="00DA4869"/>
    <w:rsid w:val="00DA66D9"/>
    <w:rsid w:val="00DB0DA1"/>
    <w:rsid w:val="00DB48F0"/>
    <w:rsid w:val="00DC0ABD"/>
    <w:rsid w:val="00DD0C27"/>
    <w:rsid w:val="00DD1CC1"/>
    <w:rsid w:val="00DD3031"/>
    <w:rsid w:val="00DD46D3"/>
    <w:rsid w:val="00DD61E0"/>
    <w:rsid w:val="00DD7465"/>
    <w:rsid w:val="00DE512A"/>
    <w:rsid w:val="00DE6573"/>
    <w:rsid w:val="00DF0B05"/>
    <w:rsid w:val="00E047FA"/>
    <w:rsid w:val="00E04F79"/>
    <w:rsid w:val="00E13161"/>
    <w:rsid w:val="00E1468A"/>
    <w:rsid w:val="00E24732"/>
    <w:rsid w:val="00E26CE6"/>
    <w:rsid w:val="00E3495B"/>
    <w:rsid w:val="00E35164"/>
    <w:rsid w:val="00E446C6"/>
    <w:rsid w:val="00E4553F"/>
    <w:rsid w:val="00E53652"/>
    <w:rsid w:val="00E550EB"/>
    <w:rsid w:val="00E56D1B"/>
    <w:rsid w:val="00E60092"/>
    <w:rsid w:val="00E62B9D"/>
    <w:rsid w:val="00E70896"/>
    <w:rsid w:val="00E71601"/>
    <w:rsid w:val="00E801D1"/>
    <w:rsid w:val="00E82279"/>
    <w:rsid w:val="00E8435E"/>
    <w:rsid w:val="00E905B8"/>
    <w:rsid w:val="00E9082C"/>
    <w:rsid w:val="00E918D5"/>
    <w:rsid w:val="00E91F72"/>
    <w:rsid w:val="00E939A5"/>
    <w:rsid w:val="00E96342"/>
    <w:rsid w:val="00E966EE"/>
    <w:rsid w:val="00E97A96"/>
    <w:rsid w:val="00EA0843"/>
    <w:rsid w:val="00EA67EE"/>
    <w:rsid w:val="00EB0CD6"/>
    <w:rsid w:val="00EB17BA"/>
    <w:rsid w:val="00EB565F"/>
    <w:rsid w:val="00EB5F9B"/>
    <w:rsid w:val="00EC0F3C"/>
    <w:rsid w:val="00EC1010"/>
    <w:rsid w:val="00EC197B"/>
    <w:rsid w:val="00EC4847"/>
    <w:rsid w:val="00EC7184"/>
    <w:rsid w:val="00ED4CE4"/>
    <w:rsid w:val="00ED54AA"/>
    <w:rsid w:val="00EE0D2C"/>
    <w:rsid w:val="00EE2728"/>
    <w:rsid w:val="00EE46BD"/>
    <w:rsid w:val="00EE4B60"/>
    <w:rsid w:val="00EF65B2"/>
    <w:rsid w:val="00F0087F"/>
    <w:rsid w:val="00F015FA"/>
    <w:rsid w:val="00F065A5"/>
    <w:rsid w:val="00F1009F"/>
    <w:rsid w:val="00F12BA7"/>
    <w:rsid w:val="00F21B75"/>
    <w:rsid w:val="00F22A90"/>
    <w:rsid w:val="00F24080"/>
    <w:rsid w:val="00F27685"/>
    <w:rsid w:val="00F31FCA"/>
    <w:rsid w:val="00F3209F"/>
    <w:rsid w:val="00F4581B"/>
    <w:rsid w:val="00F47334"/>
    <w:rsid w:val="00F47EB0"/>
    <w:rsid w:val="00F54E34"/>
    <w:rsid w:val="00F5697F"/>
    <w:rsid w:val="00F63B1D"/>
    <w:rsid w:val="00F63DA1"/>
    <w:rsid w:val="00F6756B"/>
    <w:rsid w:val="00F70FC2"/>
    <w:rsid w:val="00F71409"/>
    <w:rsid w:val="00F733C3"/>
    <w:rsid w:val="00F74E7B"/>
    <w:rsid w:val="00F752C5"/>
    <w:rsid w:val="00F768F3"/>
    <w:rsid w:val="00F76922"/>
    <w:rsid w:val="00F83B8E"/>
    <w:rsid w:val="00F93A3E"/>
    <w:rsid w:val="00F942E6"/>
    <w:rsid w:val="00F95BD0"/>
    <w:rsid w:val="00FA04D4"/>
    <w:rsid w:val="00FA1A57"/>
    <w:rsid w:val="00FA3A70"/>
    <w:rsid w:val="00FA725F"/>
    <w:rsid w:val="00FA782E"/>
    <w:rsid w:val="00FA7BDD"/>
    <w:rsid w:val="00FA7C7C"/>
    <w:rsid w:val="00FB0092"/>
    <w:rsid w:val="00FD03A7"/>
    <w:rsid w:val="00FD09EB"/>
    <w:rsid w:val="00FD20B0"/>
    <w:rsid w:val="00FE27AD"/>
    <w:rsid w:val="00FE3DBC"/>
    <w:rsid w:val="00FE6F19"/>
    <w:rsid w:val="00FE7C37"/>
    <w:rsid w:val="00FF1366"/>
    <w:rsid w:val="00F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38F27B49"/>
  <w15:docId w15:val="{FD6EAEFA-848B-47EF-8AE2-918DFBDA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5600"/>
    <w:rPr>
      <w:sz w:val="24"/>
      <w:szCs w:val="24"/>
    </w:rPr>
  </w:style>
  <w:style w:type="paragraph" w:styleId="Ttulo1">
    <w:name w:val="heading 1"/>
    <w:basedOn w:val="Normal"/>
    <w:next w:val="Normal"/>
    <w:qFormat/>
    <w:rsid w:val="00085600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85600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Ttulo3">
    <w:name w:val="heading 3"/>
    <w:basedOn w:val="Normal"/>
    <w:next w:val="Normal"/>
    <w:qFormat/>
    <w:rsid w:val="000856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856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856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8560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85600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085600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08560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085600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rsid w:val="00085600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sid w:val="00085600"/>
    <w:rPr>
      <w:color w:val="0000FF"/>
      <w:u w:val="single"/>
    </w:rPr>
  </w:style>
  <w:style w:type="paragraph" w:styleId="Ttulo">
    <w:name w:val="Title"/>
    <w:basedOn w:val="Normal"/>
    <w:qFormat/>
    <w:rsid w:val="00085600"/>
    <w:pPr>
      <w:widowControl w:val="0"/>
      <w:jc w:val="center"/>
    </w:pPr>
    <w:rPr>
      <w:rFonts w:ascii="Arial" w:hAnsi="Arial"/>
      <w:b/>
      <w:szCs w:val="20"/>
      <w:u w:val="single"/>
      <w:lang w:val="es-ES_tradnl"/>
    </w:rPr>
  </w:style>
  <w:style w:type="paragraph" w:styleId="Textoindependiente2">
    <w:name w:val="Body Text 2"/>
    <w:basedOn w:val="Normal"/>
    <w:rsid w:val="00085600"/>
    <w:pPr>
      <w:widowControl w:val="0"/>
      <w:jc w:val="both"/>
    </w:pPr>
    <w:rPr>
      <w:rFonts w:ascii="Book Antiqua" w:hAnsi="Book Antiqua"/>
      <w:sz w:val="22"/>
      <w:szCs w:val="20"/>
      <w:lang w:val="es-ES_tradnl"/>
    </w:rPr>
  </w:style>
  <w:style w:type="character" w:styleId="Nmerodepgina">
    <w:name w:val="page number"/>
    <w:basedOn w:val="Fuentedeprrafopredeter"/>
    <w:rsid w:val="00085600"/>
  </w:style>
  <w:style w:type="paragraph" w:styleId="Textoindependiente">
    <w:name w:val="Body Text"/>
    <w:basedOn w:val="Normal"/>
    <w:link w:val="TextoindependienteCar"/>
    <w:rsid w:val="00085600"/>
    <w:pPr>
      <w:jc w:val="both"/>
    </w:pPr>
    <w:rPr>
      <w:rFonts w:ascii="Book Antiqua" w:hAnsi="Book Antiqua"/>
      <w:sz w:val="20"/>
    </w:rPr>
  </w:style>
  <w:style w:type="paragraph" w:styleId="Cierre">
    <w:name w:val="Closing"/>
    <w:basedOn w:val="Normal"/>
    <w:rsid w:val="00085600"/>
    <w:pPr>
      <w:ind w:left="4252"/>
    </w:pPr>
  </w:style>
  <w:style w:type="paragraph" w:styleId="Continuarlista">
    <w:name w:val="List Continue"/>
    <w:basedOn w:val="Normal"/>
    <w:rsid w:val="00085600"/>
    <w:pPr>
      <w:spacing w:after="120"/>
      <w:ind w:left="283"/>
    </w:pPr>
  </w:style>
  <w:style w:type="paragraph" w:styleId="Continuarlista2">
    <w:name w:val="List Continue 2"/>
    <w:basedOn w:val="Normal"/>
    <w:rsid w:val="00085600"/>
    <w:pPr>
      <w:spacing w:after="120"/>
      <w:ind w:left="566"/>
    </w:pPr>
  </w:style>
  <w:style w:type="paragraph" w:styleId="Continuarlista3">
    <w:name w:val="List Continue 3"/>
    <w:basedOn w:val="Normal"/>
    <w:rsid w:val="00085600"/>
    <w:pPr>
      <w:spacing w:after="120"/>
      <w:ind w:left="849"/>
    </w:pPr>
  </w:style>
  <w:style w:type="paragraph" w:styleId="Continuarlista4">
    <w:name w:val="List Continue 4"/>
    <w:basedOn w:val="Normal"/>
    <w:rsid w:val="00085600"/>
    <w:pPr>
      <w:spacing w:after="120"/>
      <w:ind w:left="1132"/>
    </w:pPr>
  </w:style>
  <w:style w:type="paragraph" w:styleId="Continuarlista5">
    <w:name w:val="List Continue 5"/>
    <w:basedOn w:val="Normal"/>
    <w:rsid w:val="00085600"/>
    <w:pPr>
      <w:spacing w:after="120"/>
      <w:ind w:left="1415"/>
    </w:pPr>
  </w:style>
  <w:style w:type="paragraph" w:styleId="DireccinHTML">
    <w:name w:val="HTML Address"/>
    <w:basedOn w:val="Normal"/>
    <w:rsid w:val="00085600"/>
    <w:rPr>
      <w:i/>
      <w:iCs/>
    </w:rPr>
  </w:style>
  <w:style w:type="paragraph" w:styleId="Direccinsobre">
    <w:name w:val="envelope address"/>
    <w:basedOn w:val="Normal"/>
    <w:rsid w:val="00085600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Encabezadodelista">
    <w:name w:val="toa heading"/>
    <w:basedOn w:val="Normal"/>
    <w:next w:val="Normal"/>
    <w:semiHidden/>
    <w:rsid w:val="00085600"/>
    <w:pPr>
      <w:spacing w:before="120"/>
    </w:pPr>
    <w:rPr>
      <w:rFonts w:ascii="Arial" w:hAnsi="Arial" w:cs="Arial"/>
      <w:b/>
      <w:bCs/>
    </w:rPr>
  </w:style>
  <w:style w:type="paragraph" w:styleId="Encabezadodemensaje">
    <w:name w:val="Message Header"/>
    <w:basedOn w:val="Normal"/>
    <w:rsid w:val="000856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Encabezadodenota">
    <w:name w:val="Note Heading"/>
    <w:basedOn w:val="Normal"/>
    <w:next w:val="Normal"/>
    <w:rsid w:val="00085600"/>
  </w:style>
  <w:style w:type="paragraph" w:styleId="Descripcin">
    <w:name w:val="caption"/>
    <w:basedOn w:val="Normal"/>
    <w:next w:val="Normal"/>
    <w:qFormat/>
    <w:rsid w:val="00085600"/>
    <w:pPr>
      <w:spacing w:before="120" w:after="120"/>
    </w:pPr>
    <w:rPr>
      <w:b/>
      <w:bCs/>
      <w:sz w:val="20"/>
      <w:szCs w:val="20"/>
    </w:rPr>
  </w:style>
  <w:style w:type="paragraph" w:styleId="Fecha">
    <w:name w:val="Date"/>
    <w:basedOn w:val="Normal"/>
    <w:next w:val="Normal"/>
    <w:rsid w:val="00085600"/>
  </w:style>
  <w:style w:type="paragraph" w:styleId="Firma">
    <w:name w:val="Signature"/>
    <w:basedOn w:val="Normal"/>
    <w:rsid w:val="00085600"/>
    <w:pPr>
      <w:ind w:left="4252"/>
    </w:pPr>
  </w:style>
  <w:style w:type="paragraph" w:styleId="Firmadecorreoelectrnico">
    <w:name w:val="E-mail Signature"/>
    <w:basedOn w:val="Normal"/>
    <w:rsid w:val="00085600"/>
  </w:style>
  <w:style w:type="paragraph" w:styleId="HTMLconformatoprevio">
    <w:name w:val="HTML Preformatted"/>
    <w:basedOn w:val="Normal"/>
    <w:rsid w:val="00085600"/>
    <w:rPr>
      <w:rFonts w:ascii="Courier New" w:hAnsi="Courier New" w:cs="Courier New"/>
      <w:sz w:val="20"/>
      <w:szCs w:val="20"/>
    </w:rPr>
  </w:style>
  <w:style w:type="paragraph" w:styleId="ndice1">
    <w:name w:val="index 1"/>
    <w:basedOn w:val="Normal"/>
    <w:next w:val="Normal"/>
    <w:autoRedefine/>
    <w:semiHidden/>
    <w:rsid w:val="00085600"/>
    <w:pPr>
      <w:ind w:left="240" w:hanging="240"/>
    </w:pPr>
  </w:style>
  <w:style w:type="paragraph" w:styleId="ndice2">
    <w:name w:val="index 2"/>
    <w:basedOn w:val="Normal"/>
    <w:next w:val="Normal"/>
    <w:autoRedefine/>
    <w:semiHidden/>
    <w:rsid w:val="00085600"/>
    <w:pPr>
      <w:ind w:left="480" w:hanging="240"/>
    </w:pPr>
    <w:rPr>
      <w:i/>
      <w:iCs/>
      <w:sz w:val="20"/>
      <w:u w:val="single"/>
    </w:rPr>
  </w:style>
  <w:style w:type="paragraph" w:styleId="ndice3">
    <w:name w:val="index 3"/>
    <w:basedOn w:val="Normal"/>
    <w:next w:val="Normal"/>
    <w:autoRedefine/>
    <w:semiHidden/>
    <w:rsid w:val="00085600"/>
    <w:pPr>
      <w:ind w:left="720" w:hanging="240"/>
    </w:pPr>
  </w:style>
  <w:style w:type="paragraph" w:styleId="ndice4">
    <w:name w:val="index 4"/>
    <w:basedOn w:val="Normal"/>
    <w:next w:val="Normal"/>
    <w:autoRedefine/>
    <w:semiHidden/>
    <w:rsid w:val="00085600"/>
    <w:pPr>
      <w:ind w:left="960" w:hanging="240"/>
    </w:pPr>
  </w:style>
  <w:style w:type="paragraph" w:styleId="ndice5">
    <w:name w:val="index 5"/>
    <w:basedOn w:val="Normal"/>
    <w:next w:val="Normal"/>
    <w:autoRedefine/>
    <w:semiHidden/>
    <w:rsid w:val="00085600"/>
    <w:pPr>
      <w:ind w:left="1200" w:hanging="240"/>
    </w:pPr>
  </w:style>
  <w:style w:type="paragraph" w:styleId="ndice6">
    <w:name w:val="index 6"/>
    <w:basedOn w:val="Normal"/>
    <w:next w:val="Normal"/>
    <w:autoRedefine/>
    <w:semiHidden/>
    <w:rsid w:val="00085600"/>
    <w:pPr>
      <w:ind w:left="1440" w:hanging="240"/>
    </w:pPr>
  </w:style>
  <w:style w:type="paragraph" w:styleId="ndice7">
    <w:name w:val="index 7"/>
    <w:basedOn w:val="Normal"/>
    <w:next w:val="Normal"/>
    <w:autoRedefine/>
    <w:semiHidden/>
    <w:rsid w:val="00085600"/>
    <w:pPr>
      <w:ind w:left="1680" w:hanging="240"/>
    </w:pPr>
  </w:style>
  <w:style w:type="paragraph" w:styleId="ndice8">
    <w:name w:val="index 8"/>
    <w:basedOn w:val="Normal"/>
    <w:next w:val="Normal"/>
    <w:autoRedefine/>
    <w:semiHidden/>
    <w:rsid w:val="00085600"/>
    <w:pPr>
      <w:ind w:left="1920" w:hanging="240"/>
    </w:pPr>
  </w:style>
  <w:style w:type="paragraph" w:styleId="ndice9">
    <w:name w:val="index 9"/>
    <w:basedOn w:val="Normal"/>
    <w:next w:val="Normal"/>
    <w:autoRedefine/>
    <w:semiHidden/>
    <w:rsid w:val="00085600"/>
    <w:pPr>
      <w:ind w:left="2160" w:hanging="240"/>
    </w:pPr>
  </w:style>
  <w:style w:type="paragraph" w:styleId="Lista">
    <w:name w:val="List"/>
    <w:basedOn w:val="Normal"/>
    <w:rsid w:val="00085600"/>
    <w:pPr>
      <w:ind w:left="283" w:hanging="283"/>
    </w:pPr>
  </w:style>
  <w:style w:type="paragraph" w:styleId="Lista2">
    <w:name w:val="List 2"/>
    <w:basedOn w:val="Normal"/>
    <w:rsid w:val="00085600"/>
    <w:pPr>
      <w:ind w:left="566" w:hanging="283"/>
    </w:pPr>
  </w:style>
  <w:style w:type="paragraph" w:styleId="Lista3">
    <w:name w:val="List 3"/>
    <w:basedOn w:val="Normal"/>
    <w:rsid w:val="00085600"/>
    <w:pPr>
      <w:ind w:left="849" w:hanging="283"/>
    </w:pPr>
  </w:style>
  <w:style w:type="paragraph" w:styleId="Lista4">
    <w:name w:val="List 4"/>
    <w:basedOn w:val="Normal"/>
    <w:rsid w:val="00085600"/>
    <w:pPr>
      <w:ind w:left="1132" w:hanging="283"/>
    </w:pPr>
  </w:style>
  <w:style w:type="paragraph" w:styleId="Lista5">
    <w:name w:val="List 5"/>
    <w:basedOn w:val="Normal"/>
    <w:rsid w:val="00085600"/>
    <w:pPr>
      <w:ind w:left="1415" w:hanging="283"/>
    </w:pPr>
  </w:style>
  <w:style w:type="paragraph" w:styleId="Listaconnmeros">
    <w:name w:val="List Number"/>
    <w:basedOn w:val="Normal"/>
    <w:rsid w:val="00085600"/>
    <w:pPr>
      <w:numPr>
        <w:numId w:val="8"/>
      </w:numPr>
    </w:pPr>
  </w:style>
  <w:style w:type="paragraph" w:styleId="Listaconnmeros2">
    <w:name w:val="List Number 2"/>
    <w:basedOn w:val="Normal"/>
    <w:rsid w:val="00085600"/>
    <w:pPr>
      <w:numPr>
        <w:numId w:val="9"/>
      </w:numPr>
    </w:pPr>
  </w:style>
  <w:style w:type="paragraph" w:styleId="Listaconnmeros3">
    <w:name w:val="List Number 3"/>
    <w:basedOn w:val="Normal"/>
    <w:rsid w:val="00085600"/>
    <w:pPr>
      <w:numPr>
        <w:numId w:val="10"/>
      </w:numPr>
    </w:pPr>
  </w:style>
  <w:style w:type="paragraph" w:styleId="Listaconnmeros4">
    <w:name w:val="List Number 4"/>
    <w:basedOn w:val="Normal"/>
    <w:rsid w:val="00085600"/>
    <w:pPr>
      <w:numPr>
        <w:numId w:val="11"/>
      </w:numPr>
    </w:pPr>
  </w:style>
  <w:style w:type="paragraph" w:styleId="Listaconnmeros5">
    <w:name w:val="List Number 5"/>
    <w:basedOn w:val="Normal"/>
    <w:rsid w:val="00085600"/>
    <w:pPr>
      <w:numPr>
        <w:numId w:val="12"/>
      </w:numPr>
    </w:pPr>
  </w:style>
  <w:style w:type="paragraph" w:styleId="Listaconvietas">
    <w:name w:val="List Bullet"/>
    <w:basedOn w:val="Normal"/>
    <w:autoRedefine/>
    <w:rsid w:val="00085600"/>
    <w:pPr>
      <w:numPr>
        <w:numId w:val="13"/>
      </w:numPr>
    </w:pPr>
  </w:style>
  <w:style w:type="paragraph" w:styleId="Listaconvietas2">
    <w:name w:val="List Bullet 2"/>
    <w:basedOn w:val="Normal"/>
    <w:autoRedefine/>
    <w:rsid w:val="00085600"/>
    <w:pPr>
      <w:numPr>
        <w:numId w:val="14"/>
      </w:numPr>
    </w:pPr>
  </w:style>
  <w:style w:type="paragraph" w:styleId="Listaconvietas3">
    <w:name w:val="List Bullet 3"/>
    <w:basedOn w:val="Normal"/>
    <w:autoRedefine/>
    <w:rsid w:val="00085600"/>
    <w:pPr>
      <w:numPr>
        <w:numId w:val="15"/>
      </w:numPr>
    </w:pPr>
  </w:style>
  <w:style w:type="paragraph" w:styleId="Listaconvietas4">
    <w:name w:val="List Bullet 4"/>
    <w:basedOn w:val="Normal"/>
    <w:autoRedefine/>
    <w:rsid w:val="00085600"/>
    <w:pPr>
      <w:numPr>
        <w:numId w:val="16"/>
      </w:numPr>
    </w:pPr>
  </w:style>
  <w:style w:type="paragraph" w:styleId="Listaconvietas5">
    <w:name w:val="List Bullet 5"/>
    <w:basedOn w:val="Normal"/>
    <w:autoRedefine/>
    <w:rsid w:val="00085600"/>
    <w:pPr>
      <w:numPr>
        <w:numId w:val="17"/>
      </w:numPr>
    </w:pPr>
  </w:style>
  <w:style w:type="paragraph" w:styleId="Mapadeldocumento">
    <w:name w:val="Document Map"/>
    <w:basedOn w:val="Normal"/>
    <w:semiHidden/>
    <w:rsid w:val="00085600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085600"/>
  </w:style>
  <w:style w:type="paragraph" w:styleId="Remitedesobre">
    <w:name w:val="envelope return"/>
    <w:basedOn w:val="Normal"/>
    <w:rsid w:val="00085600"/>
    <w:rPr>
      <w:rFonts w:ascii="Arial" w:hAnsi="Arial" w:cs="Arial"/>
      <w:sz w:val="20"/>
      <w:szCs w:val="20"/>
    </w:rPr>
  </w:style>
  <w:style w:type="paragraph" w:styleId="Saludo">
    <w:name w:val="Salutation"/>
    <w:basedOn w:val="Normal"/>
    <w:next w:val="Normal"/>
    <w:rsid w:val="00085600"/>
  </w:style>
  <w:style w:type="paragraph" w:styleId="Sangra2detindependiente">
    <w:name w:val="Body Text Indent 2"/>
    <w:basedOn w:val="Normal"/>
    <w:rsid w:val="00085600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085600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085600"/>
    <w:pPr>
      <w:spacing w:after="120"/>
      <w:ind w:left="283"/>
    </w:pPr>
  </w:style>
  <w:style w:type="paragraph" w:styleId="Sangranormal">
    <w:name w:val="Normal Indent"/>
    <w:basedOn w:val="Normal"/>
    <w:rsid w:val="00085600"/>
    <w:pPr>
      <w:ind w:left="708"/>
    </w:pPr>
  </w:style>
  <w:style w:type="paragraph" w:styleId="Subttulo">
    <w:name w:val="Subtitle"/>
    <w:basedOn w:val="Normal"/>
    <w:qFormat/>
    <w:rsid w:val="00085600"/>
    <w:pPr>
      <w:spacing w:after="60"/>
      <w:jc w:val="center"/>
      <w:outlineLvl w:val="1"/>
    </w:pPr>
    <w:rPr>
      <w:rFonts w:ascii="Arial" w:hAnsi="Arial" w:cs="Arial"/>
    </w:rPr>
  </w:style>
  <w:style w:type="paragraph" w:styleId="Tabladeilustraciones">
    <w:name w:val="table of figures"/>
    <w:basedOn w:val="Normal"/>
    <w:next w:val="Normal"/>
    <w:semiHidden/>
    <w:rsid w:val="00085600"/>
    <w:pPr>
      <w:ind w:left="480" w:hanging="480"/>
    </w:pPr>
  </w:style>
  <w:style w:type="paragraph" w:styleId="TDC1">
    <w:name w:val="toc 1"/>
    <w:basedOn w:val="Normal"/>
    <w:next w:val="Normal"/>
    <w:autoRedefine/>
    <w:semiHidden/>
    <w:rsid w:val="00085600"/>
  </w:style>
  <w:style w:type="paragraph" w:styleId="TDC2">
    <w:name w:val="toc 2"/>
    <w:basedOn w:val="Normal"/>
    <w:next w:val="Normal"/>
    <w:autoRedefine/>
    <w:semiHidden/>
    <w:rsid w:val="00085600"/>
    <w:pPr>
      <w:ind w:left="240"/>
    </w:pPr>
  </w:style>
  <w:style w:type="paragraph" w:styleId="TDC3">
    <w:name w:val="toc 3"/>
    <w:basedOn w:val="Normal"/>
    <w:next w:val="Normal"/>
    <w:autoRedefine/>
    <w:semiHidden/>
    <w:rsid w:val="00085600"/>
    <w:pPr>
      <w:ind w:left="480"/>
    </w:pPr>
  </w:style>
  <w:style w:type="paragraph" w:styleId="TDC4">
    <w:name w:val="toc 4"/>
    <w:basedOn w:val="Normal"/>
    <w:next w:val="Normal"/>
    <w:autoRedefine/>
    <w:semiHidden/>
    <w:rsid w:val="00085600"/>
    <w:pPr>
      <w:ind w:left="720"/>
    </w:pPr>
  </w:style>
  <w:style w:type="paragraph" w:styleId="TDC5">
    <w:name w:val="toc 5"/>
    <w:basedOn w:val="Normal"/>
    <w:next w:val="Normal"/>
    <w:autoRedefine/>
    <w:semiHidden/>
    <w:rsid w:val="00085600"/>
    <w:pPr>
      <w:ind w:left="960"/>
    </w:pPr>
  </w:style>
  <w:style w:type="paragraph" w:styleId="TDC6">
    <w:name w:val="toc 6"/>
    <w:basedOn w:val="Normal"/>
    <w:next w:val="Normal"/>
    <w:autoRedefine/>
    <w:semiHidden/>
    <w:rsid w:val="00085600"/>
    <w:pPr>
      <w:ind w:left="1200"/>
    </w:pPr>
  </w:style>
  <w:style w:type="paragraph" w:styleId="TDC7">
    <w:name w:val="toc 7"/>
    <w:basedOn w:val="Normal"/>
    <w:next w:val="Normal"/>
    <w:autoRedefine/>
    <w:semiHidden/>
    <w:rsid w:val="00085600"/>
    <w:pPr>
      <w:ind w:left="1440"/>
    </w:pPr>
  </w:style>
  <w:style w:type="paragraph" w:styleId="TDC8">
    <w:name w:val="toc 8"/>
    <w:basedOn w:val="Normal"/>
    <w:next w:val="Normal"/>
    <w:autoRedefine/>
    <w:semiHidden/>
    <w:rsid w:val="00085600"/>
    <w:pPr>
      <w:ind w:left="1680"/>
    </w:pPr>
  </w:style>
  <w:style w:type="paragraph" w:styleId="TDC9">
    <w:name w:val="toc 9"/>
    <w:basedOn w:val="Normal"/>
    <w:next w:val="Normal"/>
    <w:autoRedefine/>
    <w:semiHidden/>
    <w:rsid w:val="00085600"/>
    <w:pPr>
      <w:ind w:left="1920"/>
    </w:pPr>
  </w:style>
  <w:style w:type="paragraph" w:styleId="Textocomentario">
    <w:name w:val="annotation text"/>
    <w:basedOn w:val="Normal"/>
    <w:link w:val="TextocomentarioCar"/>
    <w:semiHidden/>
    <w:rsid w:val="00085600"/>
    <w:rPr>
      <w:sz w:val="20"/>
      <w:szCs w:val="20"/>
    </w:rPr>
  </w:style>
  <w:style w:type="paragraph" w:styleId="Textoconsangra">
    <w:name w:val="table of authorities"/>
    <w:basedOn w:val="Normal"/>
    <w:next w:val="Normal"/>
    <w:semiHidden/>
    <w:rsid w:val="00085600"/>
    <w:pPr>
      <w:ind w:left="240" w:hanging="240"/>
    </w:pPr>
  </w:style>
  <w:style w:type="paragraph" w:styleId="Textodebloque">
    <w:name w:val="Block Text"/>
    <w:basedOn w:val="Normal"/>
    <w:rsid w:val="00085600"/>
    <w:pPr>
      <w:spacing w:after="120"/>
      <w:ind w:left="1440" w:right="1440"/>
    </w:pPr>
  </w:style>
  <w:style w:type="paragraph" w:styleId="Textoindependiente3">
    <w:name w:val="Body Text 3"/>
    <w:basedOn w:val="Normal"/>
    <w:rsid w:val="00085600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rsid w:val="00085600"/>
    <w:pPr>
      <w:spacing w:after="120"/>
      <w:ind w:firstLine="210"/>
      <w:jc w:val="left"/>
    </w:pPr>
    <w:rPr>
      <w:rFonts w:ascii="Times New Roman" w:hAnsi="Times New Roman"/>
      <w:sz w:val="24"/>
    </w:rPr>
  </w:style>
  <w:style w:type="paragraph" w:styleId="Textoindependienteprimerasangra2">
    <w:name w:val="Body Text First Indent 2"/>
    <w:basedOn w:val="Sangradetextonormal"/>
    <w:rsid w:val="00085600"/>
    <w:pPr>
      <w:ind w:firstLine="210"/>
    </w:pPr>
  </w:style>
  <w:style w:type="paragraph" w:styleId="Textomacro">
    <w:name w:val="macro"/>
    <w:semiHidden/>
    <w:rsid w:val="000856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xtonotaalfinal">
    <w:name w:val="endnote text"/>
    <w:basedOn w:val="Normal"/>
    <w:link w:val="TextonotaalfinalCar"/>
    <w:uiPriority w:val="99"/>
    <w:semiHidden/>
    <w:rsid w:val="00085600"/>
    <w:rPr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085600"/>
    <w:rPr>
      <w:sz w:val="20"/>
      <w:szCs w:val="20"/>
    </w:rPr>
  </w:style>
  <w:style w:type="paragraph" w:styleId="Textosinformato">
    <w:name w:val="Plain Text"/>
    <w:basedOn w:val="Normal"/>
    <w:rsid w:val="00085600"/>
    <w:rPr>
      <w:rFonts w:ascii="Courier New" w:hAnsi="Courier New" w:cs="Courier New"/>
      <w:sz w:val="20"/>
      <w:szCs w:val="20"/>
    </w:rPr>
  </w:style>
  <w:style w:type="paragraph" w:styleId="Ttulodendice">
    <w:name w:val="index heading"/>
    <w:basedOn w:val="Normal"/>
    <w:next w:val="ndice1"/>
    <w:semiHidden/>
    <w:rsid w:val="00085600"/>
    <w:rPr>
      <w:rFonts w:ascii="Arial" w:hAnsi="Arial" w:cs="Arial"/>
      <w:b/>
      <w:bCs/>
    </w:rPr>
  </w:style>
  <w:style w:type="character" w:styleId="Hipervnculovisitado">
    <w:name w:val="FollowedHyperlink"/>
    <w:basedOn w:val="Fuentedeprrafopredeter"/>
    <w:rsid w:val="00085600"/>
    <w:rPr>
      <w:color w:val="800080"/>
      <w:u w:val="single"/>
    </w:rPr>
  </w:style>
  <w:style w:type="character" w:styleId="Refdenotaalfinal">
    <w:name w:val="endnote reference"/>
    <w:basedOn w:val="Fuentedeprrafopredeter"/>
    <w:uiPriority w:val="99"/>
    <w:semiHidden/>
    <w:rsid w:val="00085600"/>
    <w:rPr>
      <w:vertAlign w:val="superscript"/>
    </w:rPr>
  </w:style>
  <w:style w:type="paragraph" w:customStyle="1" w:styleId="xl24">
    <w:name w:val="xl24"/>
    <w:basedOn w:val="Normal"/>
    <w:rsid w:val="0008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Normal"/>
    <w:rsid w:val="000856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08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0856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08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1">
    <w:name w:val="xl31"/>
    <w:basedOn w:val="Normal"/>
    <w:rsid w:val="0008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Textodeglobo">
    <w:name w:val="Balloon Text"/>
    <w:basedOn w:val="Normal"/>
    <w:link w:val="TextodegloboCar"/>
    <w:rsid w:val="007C6C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C6CB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F74E7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74E7B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74E7B"/>
  </w:style>
  <w:style w:type="character" w:customStyle="1" w:styleId="AsuntodelcomentarioCar">
    <w:name w:val="Asunto del comentario Car"/>
    <w:basedOn w:val="TextocomentarioCar"/>
    <w:link w:val="Asuntodelcomentario"/>
    <w:rsid w:val="00F74E7B"/>
  </w:style>
  <w:style w:type="paragraph" w:styleId="Prrafodelista">
    <w:name w:val="List Paragraph"/>
    <w:basedOn w:val="Normal"/>
    <w:uiPriority w:val="34"/>
    <w:qFormat/>
    <w:rsid w:val="002027A7"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B2D81"/>
  </w:style>
  <w:style w:type="character" w:styleId="Refdenotaalpie">
    <w:name w:val="footnote reference"/>
    <w:basedOn w:val="Fuentedeprrafopredeter"/>
    <w:rsid w:val="00E56D1B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rsid w:val="00CB0316"/>
    <w:rPr>
      <w:rFonts w:ascii="Book Antiqua" w:hAnsi="Book Antiqua"/>
      <w:szCs w:val="24"/>
    </w:rPr>
  </w:style>
  <w:style w:type="paragraph" w:customStyle="1" w:styleId="Default">
    <w:name w:val="Default"/>
    <w:rsid w:val="0028624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CL"/>
    </w:rPr>
  </w:style>
  <w:style w:type="character" w:customStyle="1" w:styleId="TextonotapieCar">
    <w:name w:val="Texto nota pie Car"/>
    <w:basedOn w:val="Fuentedeprrafopredeter"/>
    <w:link w:val="Textonotapie"/>
    <w:semiHidden/>
    <w:rsid w:val="005D7ABA"/>
  </w:style>
  <w:style w:type="paragraph" w:styleId="Revisin">
    <w:name w:val="Revision"/>
    <w:hidden/>
    <w:uiPriority w:val="99"/>
    <w:semiHidden/>
    <w:rsid w:val="00F065A5"/>
    <w:rPr>
      <w:sz w:val="24"/>
      <w:szCs w:val="24"/>
    </w:rPr>
  </w:style>
  <w:style w:type="table" w:styleId="Tablaconcuadrcula">
    <w:name w:val="Table Grid"/>
    <w:basedOn w:val="Tablanormal"/>
    <w:rsid w:val="00180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Plantillas\memorandum%20SSP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9CE4F-C34A-4992-9391-3526E6A4A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SSP</Template>
  <TotalTime>147</TotalTime>
  <Pages>7</Pages>
  <Words>2381</Words>
  <Characters>12676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</vt:lpstr>
    </vt:vector>
  </TitlesOfParts>
  <Company>SUBSECRETARIA DE PESCA</Company>
  <LinksUpToDate>false</LinksUpToDate>
  <CharactersWithSpaces>15027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</dc:title>
  <dc:creator>SUBSECRETARIA DE PESCA</dc:creator>
  <cp:keywords>Merluza de tres aletas</cp:keywords>
  <cp:lastModifiedBy>Ivonne Montenegro</cp:lastModifiedBy>
  <cp:revision>13</cp:revision>
  <cp:lastPrinted>2024-11-13T18:55:00Z</cp:lastPrinted>
  <dcterms:created xsi:type="dcterms:W3CDTF">2024-11-13T15:41:00Z</dcterms:created>
  <dcterms:modified xsi:type="dcterms:W3CDTF">2024-11-13T20:09:00Z</dcterms:modified>
</cp:coreProperties>
</file>