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8073" w14:textId="1BBFD396" w:rsidR="003E2EB1" w:rsidRPr="00A3229D" w:rsidRDefault="00CB3CDB">
      <w:pPr>
        <w:pStyle w:val="Textoindependiente"/>
        <w:jc w:val="center"/>
        <w:rPr>
          <w:rFonts w:ascii="gobCL" w:hAnsi="gobCL"/>
          <w:b/>
          <w:bCs/>
          <w:sz w:val="32"/>
        </w:rPr>
      </w:pPr>
      <w:r w:rsidRPr="00A3229D">
        <w:rPr>
          <w:rFonts w:ascii="gobCL" w:hAnsi="gobCL"/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E2EB1" w:rsidRPr="00A3229D">
        <w:rPr>
          <w:rFonts w:ascii="gobCL" w:hAnsi="gobCL"/>
          <w:b/>
          <w:bCs/>
          <w:sz w:val="32"/>
        </w:rPr>
        <w:t>MINUTA</w:t>
      </w:r>
      <w:r w:rsidR="00EC0F3C" w:rsidRPr="00A3229D">
        <w:rPr>
          <w:rFonts w:ascii="gobCL" w:hAnsi="gobCL"/>
          <w:b/>
          <w:bCs/>
          <w:sz w:val="32"/>
        </w:rPr>
        <w:t xml:space="preserve"> </w:t>
      </w:r>
      <w:r w:rsidR="00CB2D84" w:rsidRPr="00A3229D">
        <w:rPr>
          <w:rFonts w:ascii="gobCL" w:hAnsi="gobCL"/>
          <w:b/>
          <w:bCs/>
          <w:sz w:val="32"/>
        </w:rPr>
        <w:t xml:space="preserve">DAS </w:t>
      </w:r>
      <w:proofErr w:type="spellStart"/>
      <w:r w:rsidR="009957C6" w:rsidRPr="00A3229D">
        <w:rPr>
          <w:rFonts w:ascii="gobCL" w:hAnsi="gobCL"/>
          <w:b/>
          <w:bCs/>
          <w:sz w:val="32"/>
        </w:rPr>
        <w:t>Nº</w:t>
      </w:r>
      <w:proofErr w:type="spellEnd"/>
      <w:r w:rsidR="009957C6" w:rsidRPr="00A3229D">
        <w:rPr>
          <w:rFonts w:ascii="gobCL" w:hAnsi="gobCL"/>
          <w:b/>
          <w:bCs/>
          <w:sz w:val="32"/>
        </w:rPr>
        <w:t xml:space="preserve"> </w:t>
      </w:r>
      <w:r w:rsidR="00685946">
        <w:rPr>
          <w:rFonts w:ascii="gobCL" w:hAnsi="gobCL"/>
          <w:b/>
          <w:bCs/>
          <w:sz w:val="32"/>
        </w:rPr>
        <w:t>0</w:t>
      </w:r>
      <w:r w:rsidR="00627AB5">
        <w:rPr>
          <w:rFonts w:ascii="gobCL" w:hAnsi="gobCL"/>
          <w:b/>
          <w:bCs/>
          <w:sz w:val="32"/>
        </w:rPr>
        <w:t>16</w:t>
      </w:r>
      <w:r w:rsidR="00871091" w:rsidRPr="00A3229D">
        <w:rPr>
          <w:rFonts w:ascii="gobCL" w:hAnsi="gobCL"/>
          <w:b/>
          <w:bCs/>
          <w:sz w:val="32"/>
        </w:rPr>
        <w:t>-202</w:t>
      </w:r>
      <w:r w:rsidR="00D12F17">
        <w:rPr>
          <w:rFonts w:ascii="gobCL" w:hAnsi="gobCL"/>
          <w:b/>
          <w:bCs/>
          <w:sz w:val="32"/>
        </w:rPr>
        <w:t>4</w:t>
      </w:r>
    </w:p>
    <w:p w14:paraId="2A879CE3" w14:textId="77777777" w:rsidR="003E2EB1" w:rsidRPr="00A3229D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</w:p>
    <w:p w14:paraId="2F9A7387" w14:textId="2324F252" w:rsidR="003E2EB1" w:rsidRPr="00A3229D" w:rsidRDefault="00162887" w:rsidP="00F345FC">
      <w:pPr>
        <w:pStyle w:val="Textoindependiente"/>
        <w:rPr>
          <w:rFonts w:ascii="gobCL" w:hAnsi="gobCL"/>
          <w:b/>
          <w:bCs/>
          <w:sz w:val="24"/>
        </w:rPr>
      </w:pPr>
      <w:r w:rsidRPr="00A3229D">
        <w:rPr>
          <w:rFonts w:ascii="gobCL" w:hAnsi="gobCL"/>
          <w:b/>
          <w:bCs/>
          <w:sz w:val="24"/>
        </w:rPr>
        <w:t>Antecedentes para la elaboración de Bases Administrativas</w:t>
      </w:r>
      <w:r w:rsidR="001A54FE">
        <w:rPr>
          <w:rFonts w:ascii="gobCL" w:hAnsi="gobCL"/>
          <w:b/>
          <w:bCs/>
          <w:sz w:val="24"/>
        </w:rPr>
        <w:t xml:space="preserve"> </w:t>
      </w:r>
      <w:r w:rsidR="00D464F8">
        <w:rPr>
          <w:rFonts w:ascii="gobCL" w:hAnsi="gobCL"/>
          <w:b/>
          <w:bCs/>
          <w:sz w:val="24"/>
        </w:rPr>
        <w:t xml:space="preserve">Subasta de reasignación de LTP A </w:t>
      </w:r>
      <w:r w:rsidR="00D12F17">
        <w:rPr>
          <w:rFonts w:ascii="gobCL" w:hAnsi="gobCL"/>
          <w:b/>
          <w:bCs/>
          <w:sz w:val="24"/>
        </w:rPr>
        <w:t>de langostino amarillo</w:t>
      </w:r>
      <w:r w:rsidR="00D464F8">
        <w:rPr>
          <w:rFonts w:ascii="gobCL" w:hAnsi="gobCL"/>
          <w:b/>
          <w:bCs/>
          <w:sz w:val="24"/>
        </w:rPr>
        <w:t xml:space="preserve"> en su unidad de pesquería </w:t>
      </w:r>
      <w:r w:rsidR="00D12F17">
        <w:rPr>
          <w:rFonts w:ascii="gobCL" w:hAnsi="gobCL"/>
          <w:b/>
          <w:bCs/>
          <w:sz w:val="24"/>
        </w:rPr>
        <w:t>de las regiones ATCMA a COQ,</w:t>
      </w:r>
      <w:r w:rsidR="00D464F8">
        <w:rPr>
          <w:rFonts w:ascii="gobCL" w:hAnsi="gobCL"/>
          <w:b/>
          <w:bCs/>
          <w:sz w:val="24"/>
        </w:rPr>
        <w:t xml:space="preserve"> </w:t>
      </w:r>
      <w:r w:rsidR="00D12F17">
        <w:rPr>
          <w:rFonts w:ascii="gobCL" w:hAnsi="gobCL"/>
          <w:b/>
          <w:bCs/>
          <w:sz w:val="24"/>
        </w:rPr>
        <w:t xml:space="preserve">langostino colorado en su unidad de pesquería de las regiones de </w:t>
      </w:r>
      <w:proofErr w:type="spellStart"/>
      <w:r w:rsidR="00D12F17">
        <w:rPr>
          <w:rFonts w:ascii="gobCL" w:hAnsi="gobCL"/>
          <w:b/>
          <w:bCs/>
          <w:sz w:val="24"/>
        </w:rPr>
        <w:t>AyP</w:t>
      </w:r>
      <w:proofErr w:type="spellEnd"/>
      <w:r w:rsidR="00D12F17">
        <w:rPr>
          <w:rFonts w:ascii="gobCL" w:hAnsi="gobCL"/>
          <w:b/>
          <w:bCs/>
          <w:sz w:val="24"/>
        </w:rPr>
        <w:t xml:space="preserve"> a COQ y merluza común en su unidad de pesquería comprendida entre la región de COQ al paralelo </w:t>
      </w:r>
      <w:r w:rsidR="00863F1E">
        <w:rPr>
          <w:rFonts w:ascii="gobCL" w:hAnsi="gobCL"/>
          <w:b/>
          <w:bCs/>
          <w:sz w:val="24"/>
        </w:rPr>
        <w:t xml:space="preserve">41° 28,6’ L.S. </w:t>
      </w:r>
      <w:r w:rsidR="00D464F8">
        <w:rPr>
          <w:rFonts w:ascii="gobCL" w:hAnsi="gobCL"/>
          <w:b/>
          <w:bCs/>
          <w:sz w:val="24"/>
        </w:rPr>
        <w:t>por caducidad, año 202</w:t>
      </w:r>
      <w:r w:rsidR="00863F1E">
        <w:rPr>
          <w:rFonts w:ascii="gobCL" w:hAnsi="gobCL"/>
          <w:b/>
          <w:bCs/>
          <w:sz w:val="24"/>
        </w:rPr>
        <w:t>4</w:t>
      </w:r>
      <w:r w:rsidR="00D464F8">
        <w:rPr>
          <w:rFonts w:ascii="gobCL" w:hAnsi="gobCL"/>
          <w:b/>
          <w:bCs/>
          <w:sz w:val="24"/>
        </w:rPr>
        <w:t xml:space="preserve">. </w:t>
      </w:r>
    </w:p>
    <w:p w14:paraId="534ECB52" w14:textId="77777777" w:rsidR="003E2EB1" w:rsidRPr="00A3229D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10DAFB5C" w14:textId="17B5F664" w:rsidR="003E2EB1" w:rsidRPr="00ED6E30" w:rsidRDefault="003E2EB1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2"/>
          <w:szCs w:val="22"/>
          <w:u w:val="single"/>
        </w:rPr>
      </w:pPr>
      <w:r w:rsidRPr="00ED6E30">
        <w:rPr>
          <w:rFonts w:ascii="gobCL" w:hAnsi="gobCL"/>
          <w:b/>
          <w:bCs/>
          <w:sz w:val="22"/>
          <w:szCs w:val="22"/>
          <w:u w:val="single"/>
        </w:rPr>
        <w:t>Objetivo</w:t>
      </w:r>
    </w:p>
    <w:p w14:paraId="3BE9A17C" w14:textId="77777777" w:rsidR="00326DDB" w:rsidRPr="00ED6E30" w:rsidRDefault="00326DDB">
      <w:pPr>
        <w:pStyle w:val="Textoindependiente"/>
        <w:rPr>
          <w:rFonts w:ascii="gobCL" w:hAnsi="gobCL"/>
          <w:sz w:val="22"/>
          <w:szCs w:val="22"/>
        </w:rPr>
      </w:pPr>
    </w:p>
    <w:p w14:paraId="315C784E" w14:textId="6462666A" w:rsidR="00B31B9D" w:rsidRDefault="00863F1E" w:rsidP="00B31B9D">
      <w:pPr>
        <w:pStyle w:val="Textoindependiente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Proporcionar a</w:t>
      </w:r>
      <w:r w:rsidR="00B31B9D" w:rsidRPr="00B31B9D">
        <w:rPr>
          <w:rFonts w:ascii="gobCL" w:hAnsi="gobCL"/>
          <w:sz w:val="22"/>
          <w:szCs w:val="22"/>
        </w:rPr>
        <w:t xml:space="preserve">ntecedentes para ser considerados en subasta de reasignación de Licencias Transables de Pesca clase A para </w:t>
      </w:r>
      <w:r>
        <w:rPr>
          <w:rFonts w:ascii="gobCL" w:hAnsi="gobCL"/>
          <w:sz w:val="22"/>
          <w:szCs w:val="22"/>
        </w:rPr>
        <w:t>los</w:t>
      </w:r>
      <w:r w:rsidR="00B31B9D" w:rsidRPr="00B31B9D">
        <w:rPr>
          <w:rFonts w:ascii="gobCL" w:hAnsi="gobCL"/>
          <w:sz w:val="22"/>
          <w:szCs w:val="22"/>
        </w:rPr>
        <w:t xml:space="preserve"> recurso</w:t>
      </w:r>
      <w:r>
        <w:rPr>
          <w:rFonts w:ascii="gobCL" w:hAnsi="gobCL"/>
          <w:sz w:val="22"/>
          <w:szCs w:val="22"/>
        </w:rPr>
        <w:t>s</w:t>
      </w:r>
      <w:r w:rsidR="00B31B9D" w:rsidRPr="00B31B9D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>langostino amarillo</w:t>
      </w:r>
      <w:r w:rsidR="00B31B9D" w:rsidRPr="00B31B9D">
        <w:rPr>
          <w:rFonts w:ascii="gobCL" w:hAnsi="gobCL"/>
          <w:sz w:val="22"/>
          <w:szCs w:val="22"/>
        </w:rPr>
        <w:t>, correspondiente a la unidad de pesquería</w:t>
      </w:r>
      <w:r>
        <w:rPr>
          <w:rFonts w:ascii="gobCL" w:hAnsi="gobCL"/>
          <w:sz w:val="22"/>
          <w:szCs w:val="22"/>
        </w:rPr>
        <w:t xml:space="preserve"> de </w:t>
      </w:r>
      <w:r w:rsidRPr="00863F1E">
        <w:rPr>
          <w:rFonts w:ascii="gobCL" w:hAnsi="gobCL"/>
          <w:sz w:val="22"/>
          <w:szCs w:val="22"/>
        </w:rPr>
        <w:t>ATCMA a COQ</w:t>
      </w:r>
      <w:r w:rsidR="00B31B9D" w:rsidRPr="00B31B9D">
        <w:rPr>
          <w:rFonts w:ascii="gobCL" w:hAnsi="gobCL"/>
          <w:sz w:val="22"/>
          <w:szCs w:val="22"/>
        </w:rPr>
        <w:t xml:space="preserve">; </w:t>
      </w:r>
      <w:r>
        <w:rPr>
          <w:rFonts w:ascii="gobCL" w:hAnsi="gobCL"/>
          <w:sz w:val="22"/>
          <w:szCs w:val="22"/>
        </w:rPr>
        <w:t>langostino colorado unidad de pesquería</w:t>
      </w:r>
      <w:r>
        <w:rPr>
          <w:rFonts w:ascii="gobCL" w:hAnsi="gobCL"/>
          <w:b/>
          <w:bCs/>
          <w:sz w:val="24"/>
        </w:rPr>
        <w:t xml:space="preserve"> </w:t>
      </w:r>
      <w:proofErr w:type="spellStart"/>
      <w:r w:rsidRPr="00863F1E">
        <w:rPr>
          <w:rFonts w:ascii="gobCL" w:hAnsi="gobCL"/>
          <w:sz w:val="22"/>
          <w:szCs w:val="22"/>
        </w:rPr>
        <w:t>AyP</w:t>
      </w:r>
      <w:proofErr w:type="spellEnd"/>
      <w:r w:rsidRPr="00863F1E">
        <w:rPr>
          <w:rFonts w:ascii="gobCL" w:hAnsi="gobCL"/>
          <w:sz w:val="22"/>
          <w:szCs w:val="22"/>
        </w:rPr>
        <w:t xml:space="preserve"> a COQ</w:t>
      </w:r>
      <w:r>
        <w:rPr>
          <w:rFonts w:ascii="gobCL" w:hAnsi="gobCL"/>
          <w:sz w:val="22"/>
          <w:szCs w:val="22"/>
        </w:rPr>
        <w:t xml:space="preserve"> y merluza común unidad de pesquería de </w:t>
      </w:r>
      <w:r w:rsidRPr="00863F1E">
        <w:rPr>
          <w:rFonts w:ascii="gobCL" w:hAnsi="gobCL"/>
          <w:sz w:val="22"/>
          <w:szCs w:val="22"/>
        </w:rPr>
        <w:t>COQ al paralelo 41° 28,6’ L.S</w:t>
      </w:r>
      <w:r w:rsidRPr="00863F1E">
        <w:rPr>
          <w:rFonts w:ascii="gobCL" w:hAnsi="gobCL"/>
          <w:b/>
          <w:bCs/>
          <w:sz w:val="22"/>
          <w:szCs w:val="22"/>
        </w:rPr>
        <w:t xml:space="preserve">. </w:t>
      </w:r>
      <w:r w:rsidR="00B31B9D" w:rsidRPr="00B31B9D">
        <w:rPr>
          <w:rFonts w:ascii="gobCL" w:hAnsi="gobCL"/>
          <w:sz w:val="22"/>
          <w:szCs w:val="22"/>
        </w:rPr>
        <w:t xml:space="preserve">por caducidad por no pago de </w:t>
      </w:r>
      <w:r>
        <w:rPr>
          <w:rFonts w:ascii="gobCL" w:hAnsi="gobCL"/>
          <w:sz w:val="22"/>
          <w:szCs w:val="22"/>
        </w:rPr>
        <w:t>patente pesquera</w:t>
      </w:r>
      <w:r w:rsidR="00B31B9D" w:rsidRPr="00B31B9D">
        <w:rPr>
          <w:rFonts w:ascii="gobCL" w:hAnsi="gobCL"/>
          <w:sz w:val="22"/>
          <w:szCs w:val="22"/>
        </w:rPr>
        <w:t xml:space="preserve"> a que se refiere el artículo 43 </w:t>
      </w:r>
      <w:r>
        <w:rPr>
          <w:rFonts w:ascii="gobCL" w:hAnsi="gobCL"/>
          <w:i/>
          <w:iCs/>
          <w:sz w:val="22"/>
          <w:szCs w:val="22"/>
        </w:rPr>
        <w:t xml:space="preserve">y 43 bis </w:t>
      </w:r>
      <w:r w:rsidR="00B31B9D" w:rsidRPr="00B31B9D">
        <w:rPr>
          <w:rFonts w:ascii="gobCL" w:hAnsi="gobCL"/>
          <w:sz w:val="22"/>
          <w:szCs w:val="22"/>
        </w:rPr>
        <w:t xml:space="preserve">de la Ley General de Pesca y Acuicultura (LGPA) de titular </w:t>
      </w:r>
      <w:r>
        <w:rPr>
          <w:rFonts w:ascii="gobCL" w:hAnsi="gobCL"/>
          <w:sz w:val="22"/>
          <w:szCs w:val="22"/>
        </w:rPr>
        <w:t>Gonzalo Zúñiga Romero</w:t>
      </w:r>
      <w:r w:rsidR="00B31B9D" w:rsidRPr="00B31B9D">
        <w:rPr>
          <w:rFonts w:ascii="gobCL" w:hAnsi="gobCL"/>
          <w:sz w:val="22"/>
          <w:szCs w:val="22"/>
        </w:rPr>
        <w:t xml:space="preserve">; </w:t>
      </w:r>
      <w:r w:rsidR="00B31B9D" w:rsidRPr="00B31B9D">
        <w:rPr>
          <w:rFonts w:ascii="gobCL" w:hAnsi="gobCL"/>
          <w:sz w:val="22"/>
          <w:szCs w:val="22"/>
          <w:lang w:val="es-CL"/>
        </w:rPr>
        <w:t>S</w:t>
      </w:r>
      <w:proofErr w:type="spellStart"/>
      <w:r w:rsidR="00B31B9D" w:rsidRPr="00B31B9D">
        <w:rPr>
          <w:rFonts w:ascii="gobCL" w:hAnsi="gobCL"/>
          <w:sz w:val="22"/>
          <w:szCs w:val="22"/>
        </w:rPr>
        <w:t>ubasta</w:t>
      </w:r>
      <w:proofErr w:type="spellEnd"/>
      <w:r w:rsidR="00B31B9D" w:rsidRPr="00B31B9D">
        <w:rPr>
          <w:rFonts w:ascii="gobCL" w:hAnsi="gobCL"/>
          <w:sz w:val="22"/>
          <w:szCs w:val="22"/>
        </w:rPr>
        <w:t xml:space="preserve"> referida a la cuota correspondiente al año 202</w:t>
      </w:r>
      <w:r>
        <w:rPr>
          <w:rFonts w:ascii="gobCL" w:hAnsi="gobCL"/>
          <w:sz w:val="22"/>
          <w:szCs w:val="22"/>
        </w:rPr>
        <w:t>5</w:t>
      </w:r>
      <w:r w:rsidR="00B31B9D" w:rsidRPr="00B31B9D">
        <w:rPr>
          <w:rFonts w:ascii="gobCL" w:hAnsi="gobCL"/>
          <w:sz w:val="22"/>
          <w:szCs w:val="22"/>
        </w:rPr>
        <w:t>.</w:t>
      </w:r>
    </w:p>
    <w:p w14:paraId="6E29B57B" w14:textId="512423AC" w:rsidR="00B31B9D" w:rsidRDefault="00B31B9D" w:rsidP="00B31B9D">
      <w:pPr>
        <w:pStyle w:val="Textoindependiente"/>
        <w:rPr>
          <w:rFonts w:ascii="gobCL" w:hAnsi="gobCL"/>
          <w:sz w:val="22"/>
          <w:szCs w:val="22"/>
        </w:rPr>
      </w:pPr>
    </w:p>
    <w:p w14:paraId="0CE4DA35" w14:textId="124B8522" w:rsidR="003B2D81" w:rsidRPr="00ED6E30" w:rsidRDefault="003B2D81" w:rsidP="00780648">
      <w:pPr>
        <w:pStyle w:val="Textoindependiente"/>
        <w:rPr>
          <w:rFonts w:ascii="gobCL" w:hAnsi="gobCL"/>
          <w:sz w:val="22"/>
          <w:szCs w:val="22"/>
        </w:rPr>
      </w:pPr>
    </w:p>
    <w:p w14:paraId="3C2BBAE9" w14:textId="5EE1D959" w:rsidR="00EC1010" w:rsidRPr="00ED6E30" w:rsidRDefault="00EC1010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2"/>
          <w:szCs w:val="22"/>
          <w:u w:val="single"/>
        </w:rPr>
      </w:pPr>
      <w:r w:rsidRPr="00ED6E30">
        <w:rPr>
          <w:rFonts w:ascii="gobCL" w:hAnsi="gobCL"/>
          <w:b/>
          <w:bCs/>
          <w:sz w:val="22"/>
          <w:szCs w:val="22"/>
          <w:u w:val="single"/>
        </w:rPr>
        <w:t>Antecedentes</w:t>
      </w:r>
    </w:p>
    <w:p w14:paraId="4A29D83C" w14:textId="77777777" w:rsidR="00193847" w:rsidRPr="00ED6E30" w:rsidRDefault="00193847" w:rsidP="00193847">
      <w:pPr>
        <w:pStyle w:val="Ttulo2"/>
        <w:rPr>
          <w:rFonts w:ascii="gobCL" w:hAnsi="gobCL"/>
          <w:sz w:val="22"/>
          <w:szCs w:val="22"/>
        </w:rPr>
      </w:pPr>
    </w:p>
    <w:p w14:paraId="33733B39" w14:textId="4316443B" w:rsidR="00193847" w:rsidRPr="00ED6E30" w:rsidRDefault="00F63DA1" w:rsidP="00DC0ABD">
      <w:pPr>
        <w:pStyle w:val="Ttulo2"/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 xml:space="preserve">2.1 </w:t>
      </w:r>
      <w:r w:rsidR="000A7509" w:rsidRPr="00ED6E30">
        <w:rPr>
          <w:rFonts w:ascii="gobCL" w:hAnsi="gobCL"/>
          <w:sz w:val="22"/>
          <w:szCs w:val="22"/>
        </w:rPr>
        <w:t xml:space="preserve">Marco </w:t>
      </w:r>
      <w:r w:rsidR="00CF2C62" w:rsidRPr="00ED6E30">
        <w:rPr>
          <w:rFonts w:ascii="gobCL" w:hAnsi="gobCL"/>
          <w:sz w:val="22"/>
          <w:szCs w:val="22"/>
        </w:rPr>
        <w:t>Legal</w:t>
      </w:r>
    </w:p>
    <w:p w14:paraId="456F4EDA" w14:textId="77777777" w:rsidR="00193847" w:rsidRPr="00ED6E30" w:rsidRDefault="00193847" w:rsidP="00193847">
      <w:pPr>
        <w:pStyle w:val="Textoindependiente"/>
        <w:rPr>
          <w:rFonts w:ascii="gobCL" w:hAnsi="gobCL"/>
          <w:bCs/>
          <w:sz w:val="22"/>
          <w:szCs w:val="22"/>
        </w:rPr>
      </w:pPr>
    </w:p>
    <w:p w14:paraId="32AA3195" w14:textId="6BED26BD" w:rsidR="00350948" w:rsidRDefault="00193847" w:rsidP="00193847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En esta nueva subasta no podrá participar el adjudicatario que haya incumplido o renunciado, según sea el caso, en los términos indicados en el inciso anterior. </w:t>
      </w:r>
      <w:r w:rsidR="00CE2D7D" w:rsidRPr="00ED6E30">
        <w:rPr>
          <w:rFonts w:ascii="gobCL" w:hAnsi="gobCL"/>
          <w:bCs/>
          <w:sz w:val="22"/>
          <w:szCs w:val="22"/>
        </w:rPr>
        <w:t>En caso de que</w:t>
      </w:r>
      <w:r w:rsidRPr="00ED6E30">
        <w:rPr>
          <w:rFonts w:ascii="gobCL" w:hAnsi="gobCL"/>
          <w:bCs/>
          <w:sz w:val="22"/>
          <w:szCs w:val="22"/>
        </w:rPr>
        <w:t xml:space="preserve"> no se adjudique este lote en la nueva subasta o no se realice el pago de alguna anualidad, la cuota correspondiente a dicho lote no será asignada. </w:t>
      </w:r>
    </w:p>
    <w:p w14:paraId="1598D174" w14:textId="77777777" w:rsidR="008342D0" w:rsidRPr="00ED6E30" w:rsidRDefault="008342D0" w:rsidP="00193847">
      <w:pPr>
        <w:pStyle w:val="Textoindependiente"/>
        <w:rPr>
          <w:rFonts w:ascii="gobCL" w:hAnsi="gobCL"/>
          <w:bCs/>
          <w:sz w:val="22"/>
          <w:szCs w:val="22"/>
        </w:rPr>
      </w:pPr>
    </w:p>
    <w:p w14:paraId="3ADAA38D" w14:textId="59826F14" w:rsidR="00193847" w:rsidRPr="00ED6E30" w:rsidRDefault="00F63DA1" w:rsidP="00DC0ABD">
      <w:pPr>
        <w:pStyle w:val="Ttulo2"/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 xml:space="preserve">2.2 </w:t>
      </w:r>
      <w:r w:rsidR="000A7509" w:rsidRPr="00ED6E30">
        <w:rPr>
          <w:rFonts w:ascii="gobCL" w:hAnsi="gobCL"/>
          <w:sz w:val="22"/>
          <w:szCs w:val="22"/>
        </w:rPr>
        <w:t xml:space="preserve">Antecedentes de </w:t>
      </w:r>
      <w:r w:rsidR="00C21AB9" w:rsidRPr="00ED6E30">
        <w:rPr>
          <w:rFonts w:ascii="gobCL" w:hAnsi="gobCL"/>
          <w:sz w:val="22"/>
          <w:szCs w:val="22"/>
        </w:rPr>
        <w:t>l</w:t>
      </w:r>
      <w:r w:rsidR="000A7509" w:rsidRPr="00ED6E30">
        <w:rPr>
          <w:rFonts w:ascii="gobCL" w:hAnsi="gobCL"/>
          <w:sz w:val="22"/>
          <w:szCs w:val="22"/>
        </w:rPr>
        <w:t>ote</w:t>
      </w:r>
      <w:r w:rsidR="000D7DF0">
        <w:rPr>
          <w:rFonts w:ascii="gobCL" w:hAnsi="gobCL"/>
          <w:sz w:val="22"/>
          <w:szCs w:val="22"/>
        </w:rPr>
        <w:t>s</w:t>
      </w:r>
      <w:r w:rsidR="000A7509" w:rsidRPr="00ED6E30">
        <w:rPr>
          <w:rFonts w:ascii="gobCL" w:hAnsi="gobCL"/>
          <w:sz w:val="22"/>
          <w:szCs w:val="22"/>
        </w:rPr>
        <w:t xml:space="preserve"> </w:t>
      </w:r>
      <w:r w:rsidR="00C563CB" w:rsidRPr="00ED6E30">
        <w:rPr>
          <w:rFonts w:ascii="gobCL" w:hAnsi="gobCL"/>
          <w:sz w:val="22"/>
          <w:szCs w:val="22"/>
        </w:rPr>
        <w:t>caducado</w:t>
      </w:r>
      <w:r w:rsidR="000D7DF0">
        <w:rPr>
          <w:rFonts w:ascii="gobCL" w:hAnsi="gobCL"/>
          <w:sz w:val="22"/>
          <w:szCs w:val="22"/>
        </w:rPr>
        <w:t>s</w:t>
      </w:r>
    </w:p>
    <w:p w14:paraId="5216FABC" w14:textId="77777777" w:rsidR="008D6104" w:rsidRPr="00ED6E30" w:rsidRDefault="008D6104" w:rsidP="00EA67EE">
      <w:pPr>
        <w:rPr>
          <w:rFonts w:ascii="gobCL" w:hAnsi="gobCL"/>
          <w:sz w:val="22"/>
          <w:szCs w:val="22"/>
        </w:rPr>
      </w:pPr>
    </w:p>
    <w:p w14:paraId="4971620C" w14:textId="4FD4CBEE" w:rsidR="000F33E1" w:rsidRPr="00ED6E30" w:rsidRDefault="000D7DF0" w:rsidP="00DB3523">
      <w:pPr>
        <w:pStyle w:val="Textoindependiente"/>
        <w:numPr>
          <w:ilvl w:val="0"/>
          <w:numId w:val="49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b/>
          <w:bCs/>
          <w:sz w:val="22"/>
          <w:szCs w:val="22"/>
        </w:rPr>
        <w:t>Langostino amarillo</w:t>
      </w:r>
      <w:r w:rsidR="000F33E1" w:rsidRPr="00ED6E30">
        <w:rPr>
          <w:rFonts w:ascii="gobCL" w:hAnsi="gobCL"/>
          <w:b/>
          <w:bCs/>
          <w:sz w:val="22"/>
          <w:szCs w:val="22"/>
        </w:rPr>
        <w:t xml:space="preserve"> </w:t>
      </w:r>
      <w:r w:rsidR="003D2021" w:rsidRPr="00ED6E30">
        <w:rPr>
          <w:rFonts w:ascii="gobCL" w:hAnsi="gobCL"/>
          <w:b/>
          <w:bCs/>
          <w:sz w:val="22"/>
          <w:szCs w:val="22"/>
        </w:rPr>
        <w:t xml:space="preserve">unidad de pesquería </w:t>
      </w:r>
      <w:r>
        <w:rPr>
          <w:rFonts w:ascii="gobCL" w:hAnsi="gobCL"/>
          <w:b/>
          <w:bCs/>
          <w:sz w:val="22"/>
          <w:szCs w:val="22"/>
        </w:rPr>
        <w:t>Atacama-Coquimbo</w:t>
      </w:r>
    </w:p>
    <w:p w14:paraId="15CE44A7" w14:textId="77777777" w:rsidR="003D0CE2" w:rsidRPr="00ED6E30" w:rsidRDefault="003D0CE2" w:rsidP="00A9155A">
      <w:pPr>
        <w:jc w:val="center"/>
        <w:rPr>
          <w:rFonts w:ascii="gobCL" w:hAnsi="gobCL"/>
          <w:sz w:val="22"/>
          <w:szCs w:val="22"/>
        </w:rPr>
      </w:pPr>
    </w:p>
    <w:p w14:paraId="0A757167" w14:textId="4391A7AA" w:rsidR="008342D0" w:rsidRPr="001A7430" w:rsidRDefault="008342D0" w:rsidP="008342D0">
      <w:pPr>
        <w:pStyle w:val="Textoindependiente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 xml:space="preserve">Mediante Res. Ex. N° </w:t>
      </w:r>
      <w:r w:rsidR="000D7DF0">
        <w:rPr>
          <w:rFonts w:ascii="gobCL" w:hAnsi="gobCL"/>
          <w:sz w:val="22"/>
          <w:szCs w:val="22"/>
        </w:rPr>
        <w:t>2586</w:t>
      </w:r>
      <w:r w:rsidRPr="001A7430">
        <w:rPr>
          <w:rFonts w:ascii="gobCL" w:hAnsi="gobCL"/>
          <w:sz w:val="22"/>
          <w:szCs w:val="22"/>
        </w:rPr>
        <w:t>/201</w:t>
      </w:r>
      <w:r w:rsidR="000D7DF0">
        <w:rPr>
          <w:rFonts w:ascii="gobCL" w:hAnsi="gobCL"/>
          <w:sz w:val="22"/>
          <w:szCs w:val="22"/>
        </w:rPr>
        <w:t>9</w:t>
      </w:r>
      <w:r w:rsidRPr="001A7430">
        <w:rPr>
          <w:rFonts w:ascii="gobCL" w:hAnsi="gobCL"/>
          <w:sz w:val="22"/>
          <w:szCs w:val="22"/>
        </w:rPr>
        <w:t xml:space="preserve"> se otorgó al Sr. </w:t>
      </w:r>
      <w:r w:rsidR="000D7DF0">
        <w:rPr>
          <w:rFonts w:ascii="gobCL" w:hAnsi="gobCL"/>
          <w:sz w:val="22"/>
          <w:szCs w:val="22"/>
        </w:rPr>
        <w:t>Gonzalo Zúñiga Romero</w:t>
      </w:r>
      <w:r w:rsidRPr="001A7430">
        <w:rPr>
          <w:rFonts w:ascii="gobCL" w:hAnsi="gobCL"/>
          <w:sz w:val="22"/>
          <w:szCs w:val="22"/>
        </w:rPr>
        <w:t xml:space="preserve"> una licencia transable de pesca clase A, sobre el recurso </w:t>
      </w:r>
      <w:r w:rsidR="000D7DF0">
        <w:rPr>
          <w:rFonts w:ascii="gobCL" w:hAnsi="gobCL"/>
          <w:sz w:val="22"/>
          <w:szCs w:val="22"/>
        </w:rPr>
        <w:t>langostino amarillo</w:t>
      </w:r>
      <w:r w:rsidRPr="001A7430">
        <w:rPr>
          <w:rFonts w:ascii="gobCL" w:hAnsi="gobCL"/>
          <w:sz w:val="22"/>
          <w:szCs w:val="22"/>
        </w:rPr>
        <w:t xml:space="preserve"> en su unidad de pesquería de las regiones de </w:t>
      </w:r>
      <w:r w:rsidR="000D7DF0">
        <w:rPr>
          <w:rFonts w:ascii="gobCL" w:hAnsi="gobCL"/>
          <w:sz w:val="22"/>
          <w:szCs w:val="22"/>
        </w:rPr>
        <w:t>ATCMA-COQ</w:t>
      </w:r>
      <w:r w:rsidRPr="001A7430">
        <w:rPr>
          <w:rFonts w:ascii="gobCL" w:hAnsi="gobCL"/>
          <w:sz w:val="22"/>
          <w:szCs w:val="22"/>
        </w:rPr>
        <w:t>, correspondiente a un coeficiente de participación de 0,0000</w:t>
      </w:r>
      <w:r w:rsidR="000D7DF0">
        <w:rPr>
          <w:rFonts w:ascii="gobCL" w:hAnsi="gobCL"/>
          <w:sz w:val="22"/>
          <w:szCs w:val="22"/>
        </w:rPr>
        <w:t>600</w:t>
      </w:r>
      <w:r w:rsidRPr="001A7430">
        <w:rPr>
          <w:rFonts w:ascii="gobCL" w:hAnsi="gobCL"/>
          <w:sz w:val="22"/>
          <w:szCs w:val="22"/>
        </w:rPr>
        <w:t xml:space="preserve"> de la fracción industrial de la cuota global de captura, equivalente a 1 Unidad Mínima Divisible (UMD) identificada </w:t>
      </w:r>
      <w:r w:rsidR="000D7DF0">
        <w:rPr>
          <w:rFonts w:ascii="gobCL" w:hAnsi="gobCL"/>
          <w:sz w:val="22"/>
          <w:szCs w:val="22"/>
        </w:rPr>
        <w:t>desde</w:t>
      </w:r>
      <w:r w:rsidRPr="001A7430">
        <w:rPr>
          <w:rFonts w:ascii="gobCL" w:hAnsi="gobCL"/>
          <w:sz w:val="22"/>
          <w:szCs w:val="22"/>
        </w:rPr>
        <w:t xml:space="preserve"> el número </w:t>
      </w:r>
      <w:r w:rsidR="000D7DF0">
        <w:rPr>
          <w:rFonts w:ascii="gobCL" w:hAnsi="gobCL"/>
          <w:sz w:val="22"/>
          <w:szCs w:val="22"/>
        </w:rPr>
        <w:t>75.617 al 75.622</w:t>
      </w:r>
      <w:r w:rsidRPr="001A7430">
        <w:rPr>
          <w:rFonts w:ascii="gobCL" w:hAnsi="gobCL"/>
          <w:sz w:val="22"/>
          <w:szCs w:val="22"/>
        </w:rPr>
        <w:t>.</w:t>
      </w:r>
    </w:p>
    <w:p w14:paraId="568C392F" w14:textId="77777777" w:rsidR="008342D0" w:rsidRPr="001A7430" w:rsidRDefault="008342D0" w:rsidP="008342D0">
      <w:pPr>
        <w:pStyle w:val="Textoindependiente"/>
        <w:rPr>
          <w:rFonts w:ascii="gobCL" w:hAnsi="gobCL"/>
          <w:sz w:val="22"/>
          <w:szCs w:val="22"/>
        </w:rPr>
      </w:pPr>
    </w:p>
    <w:p w14:paraId="5C7AA5D3" w14:textId="195B0E23" w:rsidR="008342D0" w:rsidRPr="001A7430" w:rsidRDefault="008342D0" w:rsidP="008342D0">
      <w:pPr>
        <w:pStyle w:val="Textoindependiente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>Que en cumplimiento de lo dispuesto en la Ley N° 19.880, esta Subsecretaría remitió a do</w:t>
      </w:r>
      <w:r w:rsidR="004D68D4">
        <w:rPr>
          <w:rFonts w:ascii="gobCL" w:hAnsi="gobCL"/>
          <w:sz w:val="22"/>
          <w:szCs w:val="22"/>
        </w:rPr>
        <w:t>n</w:t>
      </w:r>
      <w:r w:rsidR="000D7DF0">
        <w:rPr>
          <w:rFonts w:ascii="gobCL" w:hAnsi="gobCL"/>
          <w:sz w:val="22"/>
          <w:szCs w:val="22"/>
        </w:rPr>
        <w:t xml:space="preserve"> Gonzalo Zúñiga</w:t>
      </w:r>
      <w:r w:rsidRPr="001A7430">
        <w:rPr>
          <w:rFonts w:ascii="gobCL" w:hAnsi="gobCL"/>
          <w:sz w:val="22"/>
          <w:szCs w:val="22"/>
        </w:rPr>
        <w:t xml:space="preserve"> una carta </w:t>
      </w:r>
      <w:r w:rsidR="00C63952">
        <w:rPr>
          <w:rFonts w:ascii="gobCL" w:hAnsi="gobCL"/>
          <w:sz w:val="22"/>
          <w:szCs w:val="22"/>
        </w:rPr>
        <w:t>comunic</w:t>
      </w:r>
      <w:r w:rsidRPr="001A7430">
        <w:rPr>
          <w:rFonts w:ascii="gobCL" w:hAnsi="gobCL"/>
          <w:sz w:val="22"/>
          <w:szCs w:val="22"/>
        </w:rPr>
        <w:t>ándole que, de acuerdo con la información emanada del Servicio de Impuestos Internos, no consta en sus antecedentes el pago de</w:t>
      </w:r>
      <w:r w:rsidR="004D68D4">
        <w:rPr>
          <w:rFonts w:ascii="gobCL" w:hAnsi="gobCL"/>
          <w:sz w:val="22"/>
          <w:szCs w:val="22"/>
        </w:rPr>
        <w:t xml:space="preserve"> patente pesquera</w:t>
      </w:r>
      <w:r w:rsidRPr="001A7430">
        <w:rPr>
          <w:rFonts w:ascii="gobCL" w:hAnsi="gobCL"/>
          <w:sz w:val="22"/>
          <w:szCs w:val="22"/>
        </w:rPr>
        <w:t>, fijando un plazo pa</w:t>
      </w:r>
      <w:r>
        <w:rPr>
          <w:rFonts w:ascii="gobCL" w:hAnsi="gobCL"/>
          <w:sz w:val="22"/>
          <w:szCs w:val="22"/>
        </w:rPr>
        <w:t>r</w:t>
      </w:r>
      <w:r w:rsidRPr="001A7430">
        <w:rPr>
          <w:rFonts w:ascii="gobCL" w:hAnsi="gobCL"/>
          <w:sz w:val="22"/>
          <w:szCs w:val="22"/>
        </w:rPr>
        <w:t xml:space="preserve">a remitir los documentos que obraran en su poder, que pudiesen desvirtuar la causal indicada en el artículo 143 letra e) de la LGPA. Que no habiendo dado respuesta la titular a la carta antes citada, corresponde cursar la caducidad conforme lo señalado en el artículo 143 letra e) de la LGPA </w:t>
      </w:r>
      <w:r w:rsidR="00C63952" w:rsidRPr="001A7430">
        <w:rPr>
          <w:rFonts w:ascii="gobCL" w:hAnsi="gobCL"/>
          <w:sz w:val="22"/>
          <w:szCs w:val="22"/>
        </w:rPr>
        <w:t xml:space="preserve">todo ello mediante Resolución Exenta </w:t>
      </w:r>
      <w:proofErr w:type="spellStart"/>
      <w:r w:rsidR="00C63952" w:rsidRPr="001A7430">
        <w:rPr>
          <w:rFonts w:ascii="gobCL" w:hAnsi="gobCL"/>
          <w:sz w:val="22"/>
          <w:szCs w:val="22"/>
        </w:rPr>
        <w:t>N°</w:t>
      </w:r>
      <w:proofErr w:type="spellEnd"/>
      <w:r w:rsidR="00C63952" w:rsidRPr="001A7430">
        <w:rPr>
          <w:rFonts w:ascii="gobCL" w:hAnsi="gobCL"/>
          <w:sz w:val="22"/>
          <w:szCs w:val="22"/>
        </w:rPr>
        <w:t xml:space="preserve"> </w:t>
      </w:r>
      <w:r w:rsidR="00C63952">
        <w:rPr>
          <w:rFonts w:ascii="gobCL" w:hAnsi="gobCL"/>
          <w:sz w:val="22"/>
          <w:szCs w:val="22"/>
        </w:rPr>
        <w:t>2034</w:t>
      </w:r>
      <w:r w:rsidR="00C63952" w:rsidRPr="001A7430">
        <w:rPr>
          <w:rFonts w:ascii="gobCL" w:hAnsi="gobCL"/>
          <w:sz w:val="22"/>
          <w:szCs w:val="22"/>
        </w:rPr>
        <w:t xml:space="preserve"> de 202</w:t>
      </w:r>
      <w:r w:rsidR="00C63952">
        <w:rPr>
          <w:rFonts w:ascii="gobCL" w:hAnsi="gobCL"/>
          <w:sz w:val="22"/>
          <w:szCs w:val="22"/>
        </w:rPr>
        <w:t>4</w:t>
      </w:r>
      <w:r w:rsidR="00C63952" w:rsidRPr="001A7430">
        <w:rPr>
          <w:rFonts w:ascii="gobCL" w:hAnsi="gobCL"/>
          <w:sz w:val="22"/>
          <w:szCs w:val="22"/>
        </w:rPr>
        <w:t>.</w:t>
      </w:r>
      <w:r w:rsidR="00C63952" w:rsidRPr="001A7430">
        <w:rPr>
          <w:rFonts w:ascii="gobCL" w:hAnsi="gobCL"/>
          <w:sz w:val="22"/>
          <w:szCs w:val="22"/>
        </w:rPr>
        <w:t xml:space="preserve"> </w:t>
      </w:r>
      <w:r w:rsidRPr="001A7430">
        <w:rPr>
          <w:rFonts w:ascii="gobCL" w:hAnsi="gobCL"/>
          <w:sz w:val="22"/>
          <w:szCs w:val="22"/>
        </w:rPr>
        <w:t xml:space="preserve">(Tabla </w:t>
      </w:r>
      <w:r w:rsidR="00C63952">
        <w:rPr>
          <w:rFonts w:ascii="gobCL" w:hAnsi="gobCL"/>
          <w:sz w:val="22"/>
          <w:szCs w:val="22"/>
        </w:rPr>
        <w:t>1</w:t>
      </w:r>
      <w:r w:rsidRPr="001A7430">
        <w:rPr>
          <w:rFonts w:ascii="gobCL" w:hAnsi="gobCL"/>
          <w:sz w:val="22"/>
          <w:szCs w:val="22"/>
        </w:rPr>
        <w:t>).</w:t>
      </w:r>
    </w:p>
    <w:p w14:paraId="6838831D" w14:textId="77777777" w:rsidR="008342D0" w:rsidRPr="001A7430" w:rsidRDefault="008342D0" w:rsidP="008342D0">
      <w:pPr>
        <w:pStyle w:val="Textoindependiente"/>
        <w:rPr>
          <w:rFonts w:ascii="gobCL" w:hAnsi="gobCL"/>
          <w:sz w:val="22"/>
          <w:szCs w:val="22"/>
        </w:rPr>
      </w:pPr>
    </w:p>
    <w:p w14:paraId="5B0AEC37" w14:textId="3180CD22" w:rsidR="008342D0" w:rsidRPr="001A7430" w:rsidRDefault="008342D0" w:rsidP="008342D0">
      <w:pPr>
        <w:jc w:val="center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 xml:space="preserve">Tabla </w:t>
      </w:r>
      <w:r w:rsidR="00C63952">
        <w:rPr>
          <w:rFonts w:ascii="gobCL" w:hAnsi="gobCL"/>
          <w:sz w:val="22"/>
          <w:szCs w:val="22"/>
        </w:rPr>
        <w:t>1</w:t>
      </w:r>
      <w:r w:rsidRPr="001A7430">
        <w:rPr>
          <w:rFonts w:ascii="gobCL" w:hAnsi="gobCL"/>
          <w:sz w:val="22"/>
          <w:szCs w:val="22"/>
        </w:rPr>
        <w:t xml:space="preserve">. LTP A </w:t>
      </w:r>
      <w:r w:rsidR="004D68D4">
        <w:rPr>
          <w:rFonts w:ascii="gobCL" w:hAnsi="gobCL"/>
          <w:sz w:val="22"/>
          <w:szCs w:val="22"/>
        </w:rPr>
        <w:t xml:space="preserve">langostino </w:t>
      </w:r>
      <w:r w:rsidR="007600C7">
        <w:rPr>
          <w:rFonts w:ascii="gobCL" w:hAnsi="gobCL"/>
          <w:sz w:val="22"/>
          <w:szCs w:val="22"/>
        </w:rPr>
        <w:t>amarillo</w:t>
      </w:r>
      <w:r w:rsidRPr="001A7430">
        <w:rPr>
          <w:rFonts w:ascii="gobCL" w:hAnsi="gobCL"/>
          <w:sz w:val="22"/>
          <w:szCs w:val="22"/>
        </w:rPr>
        <w:t xml:space="preserve"> </w:t>
      </w:r>
      <w:r w:rsidR="004D68D4">
        <w:rPr>
          <w:rFonts w:ascii="gobCL" w:hAnsi="gobCL"/>
          <w:sz w:val="22"/>
          <w:szCs w:val="22"/>
        </w:rPr>
        <w:t>ATCMA-COQ</w:t>
      </w:r>
      <w:r w:rsidRPr="001A7430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 xml:space="preserve">caducado por no </w:t>
      </w:r>
      <w:r w:rsidRPr="001A7430">
        <w:rPr>
          <w:rFonts w:ascii="gobCL" w:hAnsi="gobCL"/>
          <w:sz w:val="22"/>
          <w:szCs w:val="22"/>
        </w:rPr>
        <w:t xml:space="preserve">pago de </w:t>
      </w:r>
      <w:r w:rsidR="004D68D4">
        <w:rPr>
          <w:rFonts w:ascii="gobCL" w:hAnsi="gobCL"/>
          <w:sz w:val="22"/>
          <w:szCs w:val="22"/>
        </w:rPr>
        <w:t>patente pesquera</w:t>
      </w:r>
      <w:r w:rsidRPr="001A7430">
        <w:rPr>
          <w:rFonts w:ascii="gobCL" w:hAnsi="gobCL"/>
          <w:sz w:val="22"/>
          <w:szCs w:val="22"/>
        </w:rPr>
        <w:t>.</w:t>
      </w:r>
    </w:p>
    <w:tbl>
      <w:tblPr>
        <w:tblW w:w="6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891"/>
        <w:gridCol w:w="2004"/>
      </w:tblGrid>
      <w:tr w:rsidR="008342D0" w:rsidRPr="001A7430" w14:paraId="314F88A8" w14:textId="77777777" w:rsidTr="007F2569">
        <w:trPr>
          <w:trHeight w:val="348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D14DD69" w14:textId="77777777" w:rsidR="008342D0" w:rsidRPr="001A7430" w:rsidRDefault="008342D0" w:rsidP="007F256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2891" w:type="dxa"/>
            <w:shd w:val="clear" w:color="000000" w:fill="FFFFFF"/>
            <w:noWrap/>
            <w:vAlign w:val="center"/>
            <w:hideMark/>
          </w:tcPr>
          <w:p w14:paraId="347EE069" w14:textId="77777777" w:rsidR="008342D0" w:rsidRPr="001A7430" w:rsidRDefault="008342D0" w:rsidP="007F256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0273D8C4" w14:textId="77777777" w:rsidR="008342D0" w:rsidRPr="001A7430" w:rsidRDefault="008342D0" w:rsidP="007F256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Res. Ex. declara caducidad</w:t>
            </w:r>
          </w:p>
        </w:tc>
      </w:tr>
      <w:tr w:rsidR="008342D0" w:rsidRPr="001A7430" w14:paraId="6B4ACE39" w14:textId="77777777" w:rsidTr="007F2569">
        <w:trPr>
          <w:trHeight w:val="375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3A6A60" w14:textId="00098180" w:rsidR="008342D0" w:rsidRPr="001A7430" w:rsidRDefault="008342D0" w:rsidP="007F256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color w:val="000000"/>
                <w:sz w:val="20"/>
                <w:szCs w:val="20"/>
              </w:rPr>
              <w:t>0,0000</w:t>
            </w:r>
            <w:r w:rsidR="004D68D4">
              <w:rPr>
                <w:rFonts w:ascii="gobCL" w:hAnsi="gobC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030FD173" w14:textId="78005B90" w:rsidR="008342D0" w:rsidRPr="001A7430" w:rsidRDefault="004D68D4" w:rsidP="007F256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Gonzalo Zúñiga Romero</w:t>
            </w:r>
          </w:p>
        </w:tc>
        <w:tc>
          <w:tcPr>
            <w:tcW w:w="2004" w:type="dxa"/>
            <w:vAlign w:val="center"/>
          </w:tcPr>
          <w:p w14:paraId="10E2E3D3" w14:textId="5DF6C322" w:rsidR="008342D0" w:rsidRPr="001A7430" w:rsidRDefault="004D68D4" w:rsidP="007F256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2034-2024</w:t>
            </w:r>
          </w:p>
        </w:tc>
      </w:tr>
    </w:tbl>
    <w:p w14:paraId="2FD4D885" w14:textId="77777777" w:rsidR="008342D0" w:rsidRDefault="008342D0" w:rsidP="008342D0">
      <w:pPr>
        <w:jc w:val="both"/>
        <w:rPr>
          <w:rFonts w:ascii="gobCL" w:hAnsi="gobCL"/>
          <w:sz w:val="22"/>
          <w:szCs w:val="22"/>
        </w:rPr>
      </w:pPr>
    </w:p>
    <w:p w14:paraId="519486D0" w14:textId="4A04B619" w:rsidR="005F1CCC" w:rsidRDefault="005F1CCC" w:rsidP="008342D0">
      <w:pPr>
        <w:jc w:val="both"/>
        <w:rPr>
          <w:rFonts w:ascii="gobCL" w:hAnsi="gobCL"/>
          <w:sz w:val="22"/>
          <w:szCs w:val="22"/>
        </w:rPr>
      </w:pPr>
    </w:p>
    <w:p w14:paraId="491DF5EF" w14:textId="7FA19850" w:rsidR="004D68D4" w:rsidRPr="00ED6E30" w:rsidRDefault="004D68D4" w:rsidP="004D68D4">
      <w:pPr>
        <w:pStyle w:val="Textoindependiente"/>
        <w:numPr>
          <w:ilvl w:val="0"/>
          <w:numId w:val="49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b/>
          <w:bCs/>
          <w:sz w:val="22"/>
          <w:szCs w:val="22"/>
        </w:rPr>
        <w:t>Langostino colorado</w:t>
      </w:r>
      <w:r w:rsidRPr="00ED6E30">
        <w:rPr>
          <w:rFonts w:ascii="gobCL" w:hAnsi="gobCL"/>
          <w:b/>
          <w:bCs/>
          <w:sz w:val="22"/>
          <w:szCs w:val="22"/>
        </w:rPr>
        <w:t xml:space="preserve"> unidad de pesquería </w:t>
      </w:r>
      <w:r>
        <w:rPr>
          <w:rFonts w:ascii="gobCL" w:hAnsi="gobCL"/>
          <w:b/>
          <w:bCs/>
          <w:sz w:val="22"/>
          <w:szCs w:val="22"/>
        </w:rPr>
        <w:t>Arica y Parinacota-Coquimbo</w:t>
      </w:r>
    </w:p>
    <w:p w14:paraId="1D70A7C5" w14:textId="77777777" w:rsidR="004D68D4" w:rsidRPr="00ED6E30" w:rsidRDefault="004D68D4" w:rsidP="004D68D4">
      <w:pPr>
        <w:jc w:val="center"/>
        <w:rPr>
          <w:rFonts w:ascii="gobCL" w:hAnsi="gobCL"/>
          <w:sz w:val="22"/>
          <w:szCs w:val="22"/>
        </w:rPr>
      </w:pPr>
    </w:p>
    <w:p w14:paraId="05E0F129" w14:textId="1421A700" w:rsidR="004D68D4" w:rsidRPr="001A7430" w:rsidRDefault="004D68D4" w:rsidP="004D68D4">
      <w:pPr>
        <w:pStyle w:val="Textoindependiente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 xml:space="preserve">Mediante Res. Ex. N° </w:t>
      </w:r>
      <w:r>
        <w:rPr>
          <w:rFonts w:ascii="gobCL" w:hAnsi="gobCL"/>
          <w:sz w:val="22"/>
          <w:szCs w:val="22"/>
        </w:rPr>
        <w:t>2588</w:t>
      </w:r>
      <w:r w:rsidRPr="001A7430">
        <w:rPr>
          <w:rFonts w:ascii="gobCL" w:hAnsi="gobCL"/>
          <w:sz w:val="22"/>
          <w:szCs w:val="22"/>
        </w:rPr>
        <w:t>/201</w:t>
      </w:r>
      <w:r>
        <w:rPr>
          <w:rFonts w:ascii="gobCL" w:hAnsi="gobCL"/>
          <w:sz w:val="22"/>
          <w:szCs w:val="22"/>
        </w:rPr>
        <w:t>9</w:t>
      </w:r>
      <w:r w:rsidRPr="001A7430">
        <w:rPr>
          <w:rFonts w:ascii="gobCL" w:hAnsi="gobCL"/>
          <w:sz w:val="22"/>
          <w:szCs w:val="22"/>
        </w:rPr>
        <w:t xml:space="preserve"> se otorgó al Sr. </w:t>
      </w:r>
      <w:r>
        <w:rPr>
          <w:rFonts w:ascii="gobCL" w:hAnsi="gobCL"/>
          <w:sz w:val="22"/>
          <w:szCs w:val="22"/>
        </w:rPr>
        <w:t>Gonzalo Zúñiga Romero</w:t>
      </w:r>
      <w:r w:rsidRPr="001A7430">
        <w:rPr>
          <w:rFonts w:ascii="gobCL" w:hAnsi="gobCL"/>
          <w:sz w:val="22"/>
          <w:szCs w:val="22"/>
        </w:rPr>
        <w:t xml:space="preserve"> una licencia transable de pesca clase A, sobre el recurso </w:t>
      </w:r>
      <w:r>
        <w:rPr>
          <w:rFonts w:ascii="gobCL" w:hAnsi="gobCL"/>
          <w:sz w:val="22"/>
          <w:szCs w:val="22"/>
        </w:rPr>
        <w:t xml:space="preserve">langostino </w:t>
      </w:r>
      <w:r w:rsidR="00C34BD6">
        <w:rPr>
          <w:rFonts w:ascii="gobCL" w:hAnsi="gobCL"/>
          <w:sz w:val="22"/>
          <w:szCs w:val="22"/>
        </w:rPr>
        <w:t>colorado</w:t>
      </w:r>
      <w:r w:rsidRPr="001A7430">
        <w:rPr>
          <w:rFonts w:ascii="gobCL" w:hAnsi="gobCL"/>
          <w:sz w:val="22"/>
          <w:szCs w:val="22"/>
        </w:rPr>
        <w:t xml:space="preserve"> en su unidad de pesquería de las regiones de </w:t>
      </w:r>
      <w:proofErr w:type="spellStart"/>
      <w:r>
        <w:rPr>
          <w:rFonts w:ascii="gobCL" w:hAnsi="gobCL"/>
          <w:sz w:val="22"/>
          <w:szCs w:val="22"/>
        </w:rPr>
        <w:t>A</w:t>
      </w:r>
      <w:r w:rsidR="00C34BD6">
        <w:rPr>
          <w:rFonts w:ascii="gobCL" w:hAnsi="gobCL"/>
          <w:sz w:val="22"/>
          <w:szCs w:val="22"/>
        </w:rPr>
        <w:t>yP</w:t>
      </w:r>
      <w:proofErr w:type="spellEnd"/>
      <w:r>
        <w:rPr>
          <w:rFonts w:ascii="gobCL" w:hAnsi="gobCL"/>
          <w:sz w:val="22"/>
          <w:szCs w:val="22"/>
        </w:rPr>
        <w:t>-COQ</w:t>
      </w:r>
      <w:r w:rsidRPr="001A7430">
        <w:rPr>
          <w:rFonts w:ascii="gobCL" w:hAnsi="gobCL"/>
          <w:sz w:val="22"/>
          <w:szCs w:val="22"/>
        </w:rPr>
        <w:t>, correspondiente a un coeficiente de participación de 0,000</w:t>
      </w:r>
      <w:r w:rsidR="00C34BD6">
        <w:rPr>
          <w:rFonts w:ascii="gobCL" w:hAnsi="gobCL"/>
          <w:sz w:val="22"/>
          <w:szCs w:val="22"/>
        </w:rPr>
        <w:t>47</w:t>
      </w:r>
      <w:r>
        <w:rPr>
          <w:rFonts w:ascii="gobCL" w:hAnsi="gobCL"/>
          <w:sz w:val="22"/>
          <w:szCs w:val="22"/>
        </w:rPr>
        <w:t>00</w:t>
      </w:r>
      <w:r w:rsidRPr="001A7430">
        <w:rPr>
          <w:rFonts w:ascii="gobCL" w:hAnsi="gobCL"/>
          <w:sz w:val="22"/>
          <w:szCs w:val="22"/>
        </w:rPr>
        <w:t xml:space="preserve"> de la fracción industrial de la cuota global de captura, equivalente a 1 Unidad Mínima Divisible (UMD) identificada </w:t>
      </w:r>
      <w:r>
        <w:rPr>
          <w:rFonts w:ascii="gobCL" w:hAnsi="gobCL"/>
          <w:sz w:val="22"/>
          <w:szCs w:val="22"/>
        </w:rPr>
        <w:t>desde</w:t>
      </w:r>
      <w:r w:rsidRPr="001A7430">
        <w:rPr>
          <w:rFonts w:ascii="gobCL" w:hAnsi="gobCL"/>
          <w:sz w:val="22"/>
          <w:szCs w:val="22"/>
        </w:rPr>
        <w:t xml:space="preserve"> el número </w:t>
      </w:r>
      <w:r w:rsidR="00C34BD6">
        <w:rPr>
          <w:rFonts w:ascii="gobCL" w:hAnsi="gobCL"/>
          <w:sz w:val="22"/>
          <w:szCs w:val="22"/>
        </w:rPr>
        <w:t>21</w:t>
      </w:r>
      <w:r>
        <w:rPr>
          <w:rFonts w:ascii="gobCL" w:hAnsi="gobCL"/>
          <w:sz w:val="22"/>
          <w:szCs w:val="22"/>
        </w:rPr>
        <w:t>.</w:t>
      </w:r>
      <w:r w:rsidR="00C34BD6">
        <w:rPr>
          <w:rFonts w:ascii="gobCL" w:hAnsi="gobCL"/>
          <w:sz w:val="22"/>
          <w:szCs w:val="22"/>
        </w:rPr>
        <w:t>472</w:t>
      </w:r>
      <w:r>
        <w:rPr>
          <w:rFonts w:ascii="gobCL" w:hAnsi="gobCL"/>
          <w:sz w:val="22"/>
          <w:szCs w:val="22"/>
        </w:rPr>
        <w:t xml:space="preserve"> al </w:t>
      </w:r>
      <w:r w:rsidR="00C34BD6">
        <w:rPr>
          <w:rFonts w:ascii="gobCL" w:hAnsi="gobCL"/>
          <w:sz w:val="22"/>
          <w:szCs w:val="22"/>
        </w:rPr>
        <w:t>21</w:t>
      </w:r>
      <w:r>
        <w:rPr>
          <w:rFonts w:ascii="gobCL" w:hAnsi="gobCL"/>
          <w:sz w:val="22"/>
          <w:szCs w:val="22"/>
        </w:rPr>
        <w:t>.</w:t>
      </w:r>
      <w:r w:rsidR="00C34BD6">
        <w:rPr>
          <w:rFonts w:ascii="gobCL" w:hAnsi="gobCL"/>
          <w:sz w:val="22"/>
          <w:szCs w:val="22"/>
        </w:rPr>
        <w:t>518</w:t>
      </w:r>
      <w:r w:rsidRPr="001A7430">
        <w:rPr>
          <w:rFonts w:ascii="gobCL" w:hAnsi="gobCL"/>
          <w:sz w:val="22"/>
          <w:szCs w:val="22"/>
        </w:rPr>
        <w:t>.</w:t>
      </w:r>
    </w:p>
    <w:p w14:paraId="2190550A" w14:textId="77777777" w:rsidR="004D68D4" w:rsidRPr="001A7430" w:rsidRDefault="004D68D4" w:rsidP="004D68D4">
      <w:pPr>
        <w:pStyle w:val="Textoindependiente"/>
        <w:rPr>
          <w:rFonts w:ascii="gobCL" w:hAnsi="gobCL"/>
          <w:sz w:val="22"/>
          <w:szCs w:val="22"/>
        </w:rPr>
      </w:pPr>
    </w:p>
    <w:p w14:paraId="391B1B61" w14:textId="16B2AECD" w:rsidR="004D68D4" w:rsidRPr="001A7430" w:rsidRDefault="004D68D4" w:rsidP="004D68D4">
      <w:pPr>
        <w:pStyle w:val="Textoindependiente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>Que en cumplimiento de lo dispuesto en la Ley N° 19.880, esta Subsecretaría remitió a do</w:t>
      </w:r>
      <w:r>
        <w:rPr>
          <w:rFonts w:ascii="gobCL" w:hAnsi="gobCL"/>
          <w:sz w:val="22"/>
          <w:szCs w:val="22"/>
        </w:rPr>
        <w:t>n Gonzalo Zúñiga</w:t>
      </w:r>
      <w:r w:rsidRPr="001A7430">
        <w:rPr>
          <w:rFonts w:ascii="gobCL" w:hAnsi="gobCL"/>
          <w:sz w:val="22"/>
          <w:szCs w:val="22"/>
        </w:rPr>
        <w:t xml:space="preserve"> una carta </w:t>
      </w:r>
      <w:r w:rsidR="00A60C61" w:rsidRPr="00A60C61">
        <w:rPr>
          <w:rFonts w:ascii="gobCL" w:hAnsi="gobCL"/>
          <w:sz w:val="22"/>
          <w:szCs w:val="22"/>
        </w:rPr>
        <w:t>comunicándole</w:t>
      </w:r>
      <w:r w:rsidRPr="001A7430">
        <w:rPr>
          <w:rFonts w:ascii="gobCL" w:hAnsi="gobCL"/>
          <w:sz w:val="22"/>
          <w:szCs w:val="22"/>
        </w:rPr>
        <w:t xml:space="preserve"> que, de acuerdo con la información emanada del Servicio de Impuestos Internos, no consta en sus antecedentes el pago de</w:t>
      </w:r>
      <w:r>
        <w:rPr>
          <w:rFonts w:ascii="gobCL" w:hAnsi="gobCL"/>
          <w:sz w:val="22"/>
          <w:szCs w:val="22"/>
        </w:rPr>
        <w:t xml:space="preserve"> patente pesquera</w:t>
      </w:r>
      <w:r w:rsidRPr="001A7430">
        <w:rPr>
          <w:rFonts w:ascii="gobCL" w:hAnsi="gobCL"/>
          <w:sz w:val="22"/>
          <w:szCs w:val="22"/>
        </w:rPr>
        <w:t>, fijando un plazo pa</w:t>
      </w:r>
      <w:r>
        <w:rPr>
          <w:rFonts w:ascii="gobCL" w:hAnsi="gobCL"/>
          <w:sz w:val="22"/>
          <w:szCs w:val="22"/>
        </w:rPr>
        <w:t>r</w:t>
      </w:r>
      <w:r w:rsidRPr="001A7430">
        <w:rPr>
          <w:rFonts w:ascii="gobCL" w:hAnsi="gobCL"/>
          <w:sz w:val="22"/>
          <w:szCs w:val="22"/>
        </w:rPr>
        <w:t xml:space="preserve">a remitir los documentos que obraran en su poder, que pudiesen desvirtuar la causal indicada en el artículo 143 letra e) de la LGPA. Que no habiendo dado respuesta la titular a la carta antes citada, corresponde cursar la caducidad conforme lo señalado en el artículo 143 letra e) de la LGPA </w:t>
      </w:r>
      <w:r w:rsidR="00A60C61" w:rsidRPr="001A7430">
        <w:rPr>
          <w:rFonts w:ascii="gobCL" w:hAnsi="gobCL"/>
          <w:sz w:val="22"/>
          <w:szCs w:val="22"/>
        </w:rPr>
        <w:t xml:space="preserve">todo ello mediante Resolución Exenta </w:t>
      </w:r>
      <w:proofErr w:type="spellStart"/>
      <w:r w:rsidR="00A60C61" w:rsidRPr="001A7430">
        <w:rPr>
          <w:rFonts w:ascii="gobCL" w:hAnsi="gobCL"/>
          <w:sz w:val="22"/>
          <w:szCs w:val="22"/>
        </w:rPr>
        <w:t>N°</w:t>
      </w:r>
      <w:proofErr w:type="spellEnd"/>
      <w:r w:rsidR="00A60C61" w:rsidRPr="001A7430">
        <w:rPr>
          <w:rFonts w:ascii="gobCL" w:hAnsi="gobCL"/>
          <w:sz w:val="22"/>
          <w:szCs w:val="22"/>
        </w:rPr>
        <w:t xml:space="preserve"> </w:t>
      </w:r>
      <w:r w:rsidR="00A60C61">
        <w:rPr>
          <w:rFonts w:ascii="gobCL" w:hAnsi="gobCL"/>
          <w:sz w:val="22"/>
          <w:szCs w:val="22"/>
        </w:rPr>
        <w:t>2034</w:t>
      </w:r>
      <w:r w:rsidR="00A60C61" w:rsidRPr="001A7430">
        <w:rPr>
          <w:rFonts w:ascii="gobCL" w:hAnsi="gobCL"/>
          <w:sz w:val="22"/>
          <w:szCs w:val="22"/>
        </w:rPr>
        <w:t xml:space="preserve"> de 202</w:t>
      </w:r>
      <w:r w:rsidR="00A60C61">
        <w:rPr>
          <w:rFonts w:ascii="gobCL" w:hAnsi="gobCL"/>
          <w:sz w:val="22"/>
          <w:szCs w:val="22"/>
        </w:rPr>
        <w:t>4</w:t>
      </w:r>
      <w:r w:rsidR="00A60C61" w:rsidRPr="001A7430">
        <w:rPr>
          <w:rFonts w:ascii="gobCL" w:hAnsi="gobCL"/>
          <w:sz w:val="22"/>
          <w:szCs w:val="22"/>
        </w:rPr>
        <w:t>.</w:t>
      </w:r>
      <w:r w:rsidR="00A60C61" w:rsidRPr="001A7430">
        <w:rPr>
          <w:rFonts w:ascii="gobCL" w:hAnsi="gobCL"/>
          <w:sz w:val="22"/>
          <w:szCs w:val="22"/>
        </w:rPr>
        <w:t xml:space="preserve"> </w:t>
      </w:r>
      <w:r w:rsidRPr="001A7430">
        <w:rPr>
          <w:rFonts w:ascii="gobCL" w:hAnsi="gobCL"/>
          <w:sz w:val="22"/>
          <w:szCs w:val="22"/>
        </w:rPr>
        <w:t xml:space="preserve">(Tabla </w:t>
      </w:r>
      <w:r>
        <w:rPr>
          <w:rFonts w:ascii="gobCL" w:hAnsi="gobCL"/>
          <w:sz w:val="22"/>
          <w:szCs w:val="22"/>
        </w:rPr>
        <w:t>2</w:t>
      </w:r>
      <w:r w:rsidRPr="001A7430">
        <w:rPr>
          <w:rFonts w:ascii="gobCL" w:hAnsi="gobCL"/>
          <w:sz w:val="22"/>
          <w:szCs w:val="22"/>
        </w:rPr>
        <w:t>).</w:t>
      </w:r>
    </w:p>
    <w:p w14:paraId="5FF61B4C" w14:textId="77777777" w:rsidR="004D68D4" w:rsidRPr="001A7430" w:rsidRDefault="004D68D4" w:rsidP="004D68D4">
      <w:pPr>
        <w:pStyle w:val="Textoindependiente"/>
        <w:rPr>
          <w:rFonts w:ascii="gobCL" w:hAnsi="gobCL"/>
          <w:sz w:val="22"/>
          <w:szCs w:val="22"/>
        </w:rPr>
      </w:pPr>
    </w:p>
    <w:p w14:paraId="7F822240" w14:textId="715E6EC7" w:rsidR="004D68D4" w:rsidRPr="001A7430" w:rsidRDefault="004D68D4" w:rsidP="004D68D4">
      <w:pPr>
        <w:jc w:val="center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 xml:space="preserve">Tabla </w:t>
      </w:r>
      <w:r w:rsidR="00A60C61">
        <w:rPr>
          <w:rFonts w:ascii="gobCL" w:hAnsi="gobCL"/>
          <w:sz w:val="22"/>
          <w:szCs w:val="22"/>
        </w:rPr>
        <w:t>2</w:t>
      </w:r>
      <w:r w:rsidRPr="001A7430">
        <w:rPr>
          <w:rFonts w:ascii="gobCL" w:hAnsi="gobCL"/>
          <w:sz w:val="22"/>
          <w:szCs w:val="22"/>
        </w:rPr>
        <w:t xml:space="preserve">. LTP A </w:t>
      </w:r>
      <w:r>
        <w:rPr>
          <w:rFonts w:ascii="gobCL" w:hAnsi="gobCL"/>
          <w:sz w:val="22"/>
          <w:szCs w:val="22"/>
        </w:rPr>
        <w:t>langostino colorado</w:t>
      </w:r>
      <w:r w:rsidRPr="001A7430">
        <w:rPr>
          <w:rFonts w:ascii="gobCL" w:hAnsi="gobCL"/>
          <w:sz w:val="22"/>
          <w:szCs w:val="22"/>
        </w:rPr>
        <w:t xml:space="preserve"> </w:t>
      </w:r>
      <w:proofErr w:type="spellStart"/>
      <w:r>
        <w:rPr>
          <w:rFonts w:ascii="gobCL" w:hAnsi="gobCL"/>
          <w:sz w:val="22"/>
          <w:szCs w:val="22"/>
        </w:rPr>
        <w:t>A</w:t>
      </w:r>
      <w:r w:rsidR="003434E3">
        <w:rPr>
          <w:rFonts w:ascii="gobCL" w:hAnsi="gobCL"/>
          <w:sz w:val="22"/>
          <w:szCs w:val="22"/>
        </w:rPr>
        <w:t>yP</w:t>
      </w:r>
      <w:proofErr w:type="spellEnd"/>
      <w:r>
        <w:rPr>
          <w:rFonts w:ascii="gobCL" w:hAnsi="gobCL"/>
          <w:sz w:val="22"/>
          <w:szCs w:val="22"/>
        </w:rPr>
        <w:t>-COQ</w:t>
      </w:r>
      <w:r w:rsidRPr="001A7430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 xml:space="preserve">caducado por no </w:t>
      </w:r>
      <w:r w:rsidRPr="001A7430">
        <w:rPr>
          <w:rFonts w:ascii="gobCL" w:hAnsi="gobCL"/>
          <w:sz w:val="22"/>
          <w:szCs w:val="22"/>
        </w:rPr>
        <w:t xml:space="preserve">pago de </w:t>
      </w:r>
      <w:r>
        <w:rPr>
          <w:rFonts w:ascii="gobCL" w:hAnsi="gobCL"/>
          <w:sz w:val="22"/>
          <w:szCs w:val="22"/>
        </w:rPr>
        <w:t>patente pesquera</w:t>
      </w:r>
      <w:r w:rsidRPr="001A7430">
        <w:rPr>
          <w:rFonts w:ascii="gobCL" w:hAnsi="gobCL"/>
          <w:sz w:val="22"/>
          <w:szCs w:val="22"/>
        </w:rPr>
        <w:t>.</w:t>
      </w:r>
    </w:p>
    <w:tbl>
      <w:tblPr>
        <w:tblW w:w="6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891"/>
        <w:gridCol w:w="2004"/>
      </w:tblGrid>
      <w:tr w:rsidR="004D68D4" w:rsidRPr="001A7430" w14:paraId="137DF7DB" w14:textId="77777777" w:rsidTr="00CB12A9">
        <w:trPr>
          <w:trHeight w:val="348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68E3D1" w14:textId="77777777" w:rsidR="004D68D4" w:rsidRPr="001A7430" w:rsidRDefault="004D68D4" w:rsidP="00CB12A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2891" w:type="dxa"/>
            <w:shd w:val="clear" w:color="000000" w:fill="FFFFFF"/>
            <w:noWrap/>
            <w:vAlign w:val="center"/>
            <w:hideMark/>
          </w:tcPr>
          <w:p w14:paraId="58F8986C" w14:textId="77777777" w:rsidR="004D68D4" w:rsidRPr="001A7430" w:rsidRDefault="004D68D4" w:rsidP="00CB12A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53FC5CB9" w14:textId="77777777" w:rsidR="004D68D4" w:rsidRPr="001A7430" w:rsidRDefault="004D68D4" w:rsidP="00CB12A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Res. Ex. declara caducidad</w:t>
            </w:r>
          </w:p>
        </w:tc>
      </w:tr>
      <w:tr w:rsidR="004D68D4" w:rsidRPr="001A7430" w14:paraId="46FE9812" w14:textId="77777777" w:rsidTr="00CB12A9">
        <w:trPr>
          <w:trHeight w:val="375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9A4D72" w14:textId="68CC2158" w:rsidR="004D68D4" w:rsidRPr="001A7430" w:rsidRDefault="004D68D4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color w:val="000000"/>
                <w:sz w:val="20"/>
                <w:szCs w:val="20"/>
              </w:rPr>
              <w:t>0,000</w:t>
            </w:r>
            <w:r w:rsidR="003434E3">
              <w:rPr>
                <w:rFonts w:ascii="gobCL" w:hAnsi="gobCL"/>
                <w:color w:val="000000"/>
                <w:sz w:val="20"/>
                <w:szCs w:val="20"/>
              </w:rPr>
              <w:t>47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5499F3CB" w14:textId="77777777" w:rsidR="004D68D4" w:rsidRPr="001A7430" w:rsidRDefault="004D68D4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Gonzalo Zúñiga Romero</w:t>
            </w:r>
          </w:p>
        </w:tc>
        <w:tc>
          <w:tcPr>
            <w:tcW w:w="2004" w:type="dxa"/>
            <w:vAlign w:val="center"/>
          </w:tcPr>
          <w:p w14:paraId="312A835F" w14:textId="77777777" w:rsidR="004D68D4" w:rsidRPr="001A7430" w:rsidRDefault="004D68D4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2034-2024</w:t>
            </w:r>
          </w:p>
        </w:tc>
      </w:tr>
    </w:tbl>
    <w:p w14:paraId="301CCC19" w14:textId="77777777" w:rsidR="004D68D4" w:rsidRDefault="004D68D4" w:rsidP="004D68D4">
      <w:pPr>
        <w:jc w:val="both"/>
        <w:rPr>
          <w:rFonts w:ascii="gobCL" w:hAnsi="gobCL"/>
          <w:sz w:val="22"/>
          <w:szCs w:val="22"/>
        </w:rPr>
      </w:pPr>
    </w:p>
    <w:p w14:paraId="545B9C47" w14:textId="2DD10F0B" w:rsidR="008342D0" w:rsidRDefault="008342D0" w:rsidP="008342D0">
      <w:pPr>
        <w:jc w:val="both"/>
        <w:rPr>
          <w:rFonts w:ascii="gobCL" w:hAnsi="gobCL"/>
          <w:sz w:val="22"/>
          <w:szCs w:val="22"/>
        </w:rPr>
      </w:pPr>
    </w:p>
    <w:p w14:paraId="7D401A6D" w14:textId="77777777" w:rsidR="00A60C61" w:rsidRDefault="00A60C61" w:rsidP="008342D0">
      <w:pPr>
        <w:jc w:val="both"/>
        <w:rPr>
          <w:rFonts w:ascii="gobCL" w:hAnsi="gobCL"/>
          <w:sz w:val="22"/>
          <w:szCs w:val="22"/>
        </w:rPr>
      </w:pPr>
    </w:p>
    <w:p w14:paraId="5DE12D46" w14:textId="77777777" w:rsidR="00A60C61" w:rsidRDefault="00A60C61" w:rsidP="008342D0">
      <w:pPr>
        <w:jc w:val="both"/>
        <w:rPr>
          <w:rFonts w:ascii="gobCL" w:hAnsi="gobCL"/>
          <w:sz w:val="22"/>
          <w:szCs w:val="22"/>
        </w:rPr>
      </w:pPr>
    </w:p>
    <w:p w14:paraId="36735BE0" w14:textId="05080923" w:rsidR="003434E3" w:rsidRPr="00ED6E30" w:rsidRDefault="003434E3" w:rsidP="003434E3">
      <w:pPr>
        <w:pStyle w:val="Textoindependiente"/>
        <w:numPr>
          <w:ilvl w:val="0"/>
          <w:numId w:val="49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b/>
          <w:bCs/>
          <w:sz w:val="22"/>
          <w:szCs w:val="22"/>
        </w:rPr>
        <w:lastRenderedPageBreak/>
        <w:t>Merluza común</w:t>
      </w:r>
      <w:r w:rsidRPr="00ED6E30">
        <w:rPr>
          <w:rFonts w:ascii="gobCL" w:hAnsi="gobCL"/>
          <w:b/>
          <w:bCs/>
          <w:sz w:val="22"/>
          <w:szCs w:val="22"/>
        </w:rPr>
        <w:t xml:space="preserve"> unidad de pesquería </w:t>
      </w:r>
      <w:r>
        <w:rPr>
          <w:rFonts w:ascii="gobCL" w:hAnsi="gobCL"/>
          <w:b/>
          <w:bCs/>
          <w:sz w:val="22"/>
          <w:szCs w:val="22"/>
        </w:rPr>
        <w:t xml:space="preserve">Coquimbo al paralelo 41°28,6’ L.S. </w:t>
      </w:r>
    </w:p>
    <w:p w14:paraId="02987606" w14:textId="77777777" w:rsidR="003434E3" w:rsidRPr="00ED6E30" w:rsidRDefault="003434E3" w:rsidP="003434E3">
      <w:pPr>
        <w:jc w:val="center"/>
        <w:rPr>
          <w:rFonts w:ascii="gobCL" w:hAnsi="gobCL"/>
          <w:sz w:val="22"/>
          <w:szCs w:val="22"/>
        </w:rPr>
      </w:pPr>
    </w:p>
    <w:p w14:paraId="2DF468E5" w14:textId="5A12DF0E" w:rsidR="003434E3" w:rsidRPr="001A7430" w:rsidRDefault="003434E3" w:rsidP="003434E3">
      <w:pPr>
        <w:pStyle w:val="Textoindependiente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>Mediante</w:t>
      </w:r>
      <w:r w:rsidR="006C43F4">
        <w:rPr>
          <w:rFonts w:ascii="gobCL" w:hAnsi="gobCL"/>
          <w:sz w:val="22"/>
          <w:szCs w:val="22"/>
        </w:rPr>
        <w:t xml:space="preserve"> Res. Ex N°2976/2020 que modificó a </w:t>
      </w:r>
      <w:r w:rsidRPr="001A7430">
        <w:rPr>
          <w:rFonts w:ascii="gobCL" w:hAnsi="gobCL"/>
          <w:sz w:val="22"/>
          <w:szCs w:val="22"/>
        </w:rPr>
        <w:t xml:space="preserve">Res. Ex. N° </w:t>
      </w:r>
      <w:r>
        <w:rPr>
          <w:rFonts w:ascii="gobCL" w:hAnsi="gobCL"/>
          <w:sz w:val="22"/>
          <w:szCs w:val="22"/>
        </w:rPr>
        <w:t>25</w:t>
      </w:r>
      <w:r w:rsidR="00AE3FF4">
        <w:rPr>
          <w:rFonts w:ascii="gobCL" w:hAnsi="gobCL"/>
          <w:sz w:val="22"/>
          <w:szCs w:val="22"/>
        </w:rPr>
        <w:t>90</w:t>
      </w:r>
      <w:r w:rsidRPr="001A7430">
        <w:rPr>
          <w:rFonts w:ascii="gobCL" w:hAnsi="gobCL"/>
          <w:sz w:val="22"/>
          <w:szCs w:val="22"/>
        </w:rPr>
        <w:t>/201</w:t>
      </w:r>
      <w:r>
        <w:rPr>
          <w:rFonts w:ascii="gobCL" w:hAnsi="gobCL"/>
          <w:sz w:val="22"/>
          <w:szCs w:val="22"/>
        </w:rPr>
        <w:t>9</w:t>
      </w:r>
      <w:r w:rsidRPr="001A7430">
        <w:rPr>
          <w:rFonts w:ascii="gobCL" w:hAnsi="gobCL"/>
          <w:sz w:val="22"/>
          <w:szCs w:val="22"/>
        </w:rPr>
        <w:t xml:space="preserve"> se otorgó al Sr. </w:t>
      </w:r>
      <w:r>
        <w:rPr>
          <w:rFonts w:ascii="gobCL" w:hAnsi="gobCL"/>
          <w:sz w:val="22"/>
          <w:szCs w:val="22"/>
        </w:rPr>
        <w:t>Gonzalo Zúñiga Romero</w:t>
      </w:r>
      <w:r w:rsidRPr="001A7430">
        <w:rPr>
          <w:rFonts w:ascii="gobCL" w:hAnsi="gobCL"/>
          <w:sz w:val="22"/>
          <w:szCs w:val="22"/>
        </w:rPr>
        <w:t xml:space="preserve"> una licencia transable de pesca clase A, sobre el recurso </w:t>
      </w:r>
      <w:r w:rsidR="00AE3FF4">
        <w:rPr>
          <w:rFonts w:ascii="gobCL" w:hAnsi="gobCL"/>
          <w:sz w:val="22"/>
          <w:szCs w:val="22"/>
        </w:rPr>
        <w:t>merluza común</w:t>
      </w:r>
      <w:r w:rsidRPr="001A7430">
        <w:rPr>
          <w:rFonts w:ascii="gobCL" w:hAnsi="gobCL"/>
          <w:sz w:val="22"/>
          <w:szCs w:val="22"/>
        </w:rPr>
        <w:t xml:space="preserve"> en su unidad de pesquería de las regiones de</w:t>
      </w:r>
      <w:r w:rsidR="00AE3FF4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>COQ</w:t>
      </w:r>
      <w:r w:rsidR="00AE3FF4">
        <w:rPr>
          <w:rFonts w:ascii="gobCL" w:hAnsi="gobCL"/>
          <w:sz w:val="22"/>
          <w:szCs w:val="22"/>
        </w:rPr>
        <w:t>-al paralelo 41°28,6’</w:t>
      </w:r>
      <w:proofErr w:type="gramStart"/>
      <w:r w:rsidR="00AE3FF4">
        <w:rPr>
          <w:rFonts w:ascii="gobCL" w:hAnsi="gobCL"/>
          <w:sz w:val="22"/>
          <w:szCs w:val="22"/>
        </w:rPr>
        <w:t>L.S</w:t>
      </w:r>
      <w:proofErr w:type="gramEnd"/>
      <w:r w:rsidRPr="001A7430">
        <w:rPr>
          <w:rFonts w:ascii="gobCL" w:hAnsi="gobCL"/>
          <w:sz w:val="22"/>
          <w:szCs w:val="22"/>
        </w:rPr>
        <w:t>, correspondiente a un coeficiente de participación de 0,000</w:t>
      </w:r>
      <w:r w:rsidR="00AE3FF4">
        <w:rPr>
          <w:rFonts w:ascii="gobCL" w:hAnsi="gobCL"/>
          <w:sz w:val="22"/>
          <w:szCs w:val="22"/>
        </w:rPr>
        <w:t>0</w:t>
      </w:r>
      <w:r w:rsidR="006C43F4">
        <w:rPr>
          <w:rFonts w:ascii="gobCL" w:hAnsi="gobCL"/>
          <w:sz w:val="22"/>
          <w:szCs w:val="22"/>
        </w:rPr>
        <w:t>179</w:t>
      </w:r>
      <w:r w:rsidRPr="001A7430">
        <w:rPr>
          <w:rFonts w:ascii="gobCL" w:hAnsi="gobCL"/>
          <w:sz w:val="22"/>
          <w:szCs w:val="22"/>
        </w:rPr>
        <w:t xml:space="preserve"> de la fracción industrial de la cuota global de captura, equivalente a </w:t>
      </w:r>
      <w:r w:rsidR="00123B82">
        <w:rPr>
          <w:rFonts w:ascii="gobCL" w:hAnsi="gobCL"/>
          <w:sz w:val="22"/>
          <w:szCs w:val="22"/>
        </w:rPr>
        <w:t>1</w:t>
      </w:r>
      <w:r w:rsidRPr="001A7430">
        <w:rPr>
          <w:rFonts w:ascii="gobCL" w:hAnsi="gobCL"/>
          <w:sz w:val="22"/>
          <w:szCs w:val="22"/>
        </w:rPr>
        <w:t xml:space="preserve"> Unidad Mínima Divisible (UMD) identificada </w:t>
      </w:r>
      <w:r>
        <w:rPr>
          <w:rFonts w:ascii="gobCL" w:hAnsi="gobCL"/>
          <w:sz w:val="22"/>
          <w:szCs w:val="22"/>
        </w:rPr>
        <w:t>desde</w:t>
      </w:r>
      <w:r w:rsidRPr="001A7430">
        <w:rPr>
          <w:rFonts w:ascii="gobCL" w:hAnsi="gobCL"/>
          <w:sz w:val="22"/>
          <w:szCs w:val="22"/>
        </w:rPr>
        <w:t xml:space="preserve"> el número </w:t>
      </w:r>
      <w:r w:rsidR="00123B82">
        <w:rPr>
          <w:rFonts w:ascii="gobCL" w:hAnsi="gobCL"/>
          <w:sz w:val="22"/>
          <w:szCs w:val="22"/>
        </w:rPr>
        <w:t>83.863</w:t>
      </w:r>
      <w:r>
        <w:rPr>
          <w:rFonts w:ascii="gobCL" w:hAnsi="gobCL"/>
          <w:sz w:val="22"/>
          <w:szCs w:val="22"/>
        </w:rPr>
        <w:t xml:space="preserve"> al </w:t>
      </w:r>
      <w:r w:rsidR="00123B82">
        <w:rPr>
          <w:rFonts w:ascii="gobCL" w:hAnsi="gobCL"/>
          <w:sz w:val="22"/>
          <w:szCs w:val="22"/>
        </w:rPr>
        <w:t>83.863</w:t>
      </w:r>
      <w:r w:rsidRPr="001A7430">
        <w:rPr>
          <w:rFonts w:ascii="gobCL" w:hAnsi="gobCL"/>
          <w:sz w:val="22"/>
          <w:szCs w:val="22"/>
        </w:rPr>
        <w:t>.</w:t>
      </w:r>
    </w:p>
    <w:p w14:paraId="1468F330" w14:textId="77777777" w:rsidR="003434E3" w:rsidRPr="001A7430" w:rsidRDefault="003434E3" w:rsidP="003434E3">
      <w:pPr>
        <w:pStyle w:val="Textoindependiente"/>
        <w:rPr>
          <w:rFonts w:ascii="gobCL" w:hAnsi="gobCL"/>
          <w:sz w:val="22"/>
          <w:szCs w:val="22"/>
        </w:rPr>
      </w:pPr>
    </w:p>
    <w:p w14:paraId="19462253" w14:textId="7F647AD9" w:rsidR="003434E3" w:rsidRPr="001A7430" w:rsidRDefault="003434E3" w:rsidP="003434E3">
      <w:pPr>
        <w:pStyle w:val="Textoindependiente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>Que en cumplimiento de lo dispuesto en la Ley N° 19.880, esta Subsecretaría remitió a do</w:t>
      </w:r>
      <w:r>
        <w:rPr>
          <w:rFonts w:ascii="gobCL" w:hAnsi="gobCL"/>
          <w:sz w:val="22"/>
          <w:szCs w:val="22"/>
        </w:rPr>
        <w:t>n Gonzalo Zúñiga</w:t>
      </w:r>
      <w:r w:rsidRPr="001A7430">
        <w:rPr>
          <w:rFonts w:ascii="gobCL" w:hAnsi="gobCL"/>
          <w:sz w:val="22"/>
          <w:szCs w:val="22"/>
        </w:rPr>
        <w:t xml:space="preserve"> una carta informándole que, de acuerdo con la información emanada del Servicio de Impuestos Internos, no consta en sus antecedentes el pago de</w:t>
      </w:r>
      <w:r>
        <w:rPr>
          <w:rFonts w:ascii="gobCL" w:hAnsi="gobCL"/>
          <w:sz w:val="22"/>
          <w:szCs w:val="22"/>
        </w:rPr>
        <w:t xml:space="preserve"> patente pesquera</w:t>
      </w:r>
      <w:r w:rsidRPr="001A7430">
        <w:rPr>
          <w:rFonts w:ascii="gobCL" w:hAnsi="gobCL"/>
          <w:sz w:val="22"/>
          <w:szCs w:val="22"/>
        </w:rPr>
        <w:t>, fijando un plazo pa</w:t>
      </w:r>
      <w:r>
        <w:rPr>
          <w:rFonts w:ascii="gobCL" w:hAnsi="gobCL"/>
          <w:sz w:val="22"/>
          <w:szCs w:val="22"/>
        </w:rPr>
        <w:t>r</w:t>
      </w:r>
      <w:r w:rsidRPr="001A7430">
        <w:rPr>
          <w:rFonts w:ascii="gobCL" w:hAnsi="gobCL"/>
          <w:sz w:val="22"/>
          <w:szCs w:val="22"/>
        </w:rPr>
        <w:t xml:space="preserve">a remitir los documentos que obraran en su poder, que pudiesen desvirtuar la causal indicada en el artículo 143 letra e) de la LGPA. Que no habiendo dado respuesta la titular a la carta antes citada, corresponde cursar la caducidad conforme lo señalado en el artículo 143 letra e) de la LGPA </w:t>
      </w:r>
      <w:r w:rsidR="00D0570D" w:rsidRPr="001A7430">
        <w:rPr>
          <w:rFonts w:ascii="gobCL" w:hAnsi="gobCL"/>
          <w:sz w:val="22"/>
          <w:szCs w:val="22"/>
        </w:rPr>
        <w:t xml:space="preserve">todo ello mediante Resolución Exenta </w:t>
      </w:r>
      <w:proofErr w:type="spellStart"/>
      <w:r w:rsidR="00D0570D" w:rsidRPr="001A7430">
        <w:rPr>
          <w:rFonts w:ascii="gobCL" w:hAnsi="gobCL"/>
          <w:sz w:val="22"/>
          <w:szCs w:val="22"/>
        </w:rPr>
        <w:t>N°</w:t>
      </w:r>
      <w:proofErr w:type="spellEnd"/>
      <w:r w:rsidR="00D0570D" w:rsidRPr="001A7430">
        <w:rPr>
          <w:rFonts w:ascii="gobCL" w:hAnsi="gobCL"/>
          <w:sz w:val="22"/>
          <w:szCs w:val="22"/>
        </w:rPr>
        <w:t xml:space="preserve"> </w:t>
      </w:r>
      <w:r w:rsidR="00D0570D">
        <w:rPr>
          <w:rFonts w:ascii="gobCL" w:hAnsi="gobCL"/>
          <w:sz w:val="22"/>
          <w:szCs w:val="22"/>
        </w:rPr>
        <w:t>2034</w:t>
      </w:r>
      <w:r w:rsidR="00D0570D" w:rsidRPr="001A7430">
        <w:rPr>
          <w:rFonts w:ascii="gobCL" w:hAnsi="gobCL"/>
          <w:sz w:val="22"/>
          <w:szCs w:val="22"/>
        </w:rPr>
        <w:t xml:space="preserve"> de 202</w:t>
      </w:r>
      <w:r w:rsidR="00D0570D">
        <w:rPr>
          <w:rFonts w:ascii="gobCL" w:hAnsi="gobCL"/>
          <w:sz w:val="22"/>
          <w:szCs w:val="22"/>
        </w:rPr>
        <w:t>4</w:t>
      </w:r>
      <w:r w:rsidR="00D0570D" w:rsidRPr="001A7430">
        <w:rPr>
          <w:rFonts w:ascii="gobCL" w:hAnsi="gobCL"/>
          <w:sz w:val="22"/>
          <w:szCs w:val="22"/>
        </w:rPr>
        <w:t>.</w:t>
      </w:r>
      <w:r w:rsidR="00D0570D" w:rsidRPr="001A7430">
        <w:rPr>
          <w:rFonts w:ascii="gobCL" w:hAnsi="gobCL"/>
          <w:sz w:val="22"/>
          <w:szCs w:val="22"/>
        </w:rPr>
        <w:t xml:space="preserve"> </w:t>
      </w:r>
      <w:r w:rsidRPr="001A7430">
        <w:rPr>
          <w:rFonts w:ascii="gobCL" w:hAnsi="gobCL"/>
          <w:sz w:val="22"/>
          <w:szCs w:val="22"/>
        </w:rPr>
        <w:t xml:space="preserve">(Tabla </w:t>
      </w:r>
      <w:r w:rsidR="00D0570D">
        <w:rPr>
          <w:rFonts w:ascii="gobCL" w:hAnsi="gobCL"/>
          <w:sz w:val="22"/>
          <w:szCs w:val="22"/>
        </w:rPr>
        <w:t>3</w:t>
      </w:r>
      <w:r w:rsidRPr="001A7430">
        <w:rPr>
          <w:rFonts w:ascii="gobCL" w:hAnsi="gobCL"/>
          <w:sz w:val="22"/>
          <w:szCs w:val="22"/>
        </w:rPr>
        <w:t>).</w:t>
      </w:r>
    </w:p>
    <w:p w14:paraId="329F923C" w14:textId="77777777" w:rsidR="003434E3" w:rsidRPr="001A7430" w:rsidRDefault="003434E3" w:rsidP="003434E3">
      <w:pPr>
        <w:pStyle w:val="Textoindependiente"/>
        <w:rPr>
          <w:rFonts w:ascii="gobCL" w:hAnsi="gobCL"/>
          <w:sz w:val="22"/>
          <w:szCs w:val="22"/>
        </w:rPr>
      </w:pPr>
    </w:p>
    <w:p w14:paraId="2EB9D799" w14:textId="1031047B" w:rsidR="003434E3" w:rsidRPr="001A7430" w:rsidRDefault="003434E3" w:rsidP="003434E3">
      <w:pPr>
        <w:jc w:val="center"/>
        <w:rPr>
          <w:rFonts w:ascii="gobCL" w:hAnsi="gobCL"/>
          <w:sz w:val="22"/>
          <w:szCs w:val="22"/>
        </w:rPr>
      </w:pPr>
      <w:r w:rsidRPr="001A7430">
        <w:rPr>
          <w:rFonts w:ascii="gobCL" w:hAnsi="gobCL"/>
          <w:sz w:val="22"/>
          <w:szCs w:val="22"/>
        </w:rPr>
        <w:t xml:space="preserve">Tabla </w:t>
      </w:r>
      <w:r>
        <w:rPr>
          <w:rFonts w:ascii="gobCL" w:hAnsi="gobCL"/>
          <w:sz w:val="22"/>
          <w:szCs w:val="22"/>
        </w:rPr>
        <w:t>3</w:t>
      </w:r>
      <w:r w:rsidRPr="001A7430">
        <w:rPr>
          <w:rFonts w:ascii="gobCL" w:hAnsi="gobCL"/>
          <w:sz w:val="22"/>
          <w:szCs w:val="22"/>
        </w:rPr>
        <w:t xml:space="preserve">. LTP A </w:t>
      </w:r>
      <w:r w:rsidR="00C13AE0">
        <w:rPr>
          <w:rFonts w:ascii="gobCL" w:hAnsi="gobCL"/>
          <w:sz w:val="22"/>
          <w:szCs w:val="22"/>
        </w:rPr>
        <w:t>merluza común</w:t>
      </w:r>
      <w:r w:rsidRPr="001A7430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>COQ</w:t>
      </w:r>
      <w:r w:rsidR="00C13AE0">
        <w:rPr>
          <w:rFonts w:ascii="gobCL" w:hAnsi="gobCL"/>
          <w:sz w:val="22"/>
          <w:szCs w:val="22"/>
        </w:rPr>
        <w:t>-</w:t>
      </w:r>
      <w:r w:rsidR="00C13AE0" w:rsidRPr="00C13AE0">
        <w:rPr>
          <w:rFonts w:ascii="gobCL" w:hAnsi="gobCL"/>
          <w:sz w:val="22"/>
          <w:szCs w:val="22"/>
        </w:rPr>
        <w:t>41°28,6’</w:t>
      </w:r>
      <w:proofErr w:type="gramStart"/>
      <w:r w:rsidR="00C13AE0" w:rsidRPr="00C13AE0">
        <w:rPr>
          <w:rFonts w:ascii="gobCL" w:hAnsi="gobCL"/>
          <w:sz w:val="22"/>
          <w:szCs w:val="22"/>
        </w:rPr>
        <w:t>L.S</w:t>
      </w:r>
      <w:proofErr w:type="gramEnd"/>
      <w:r w:rsidRPr="001A7430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 xml:space="preserve">caducado por no </w:t>
      </w:r>
      <w:r w:rsidRPr="001A7430">
        <w:rPr>
          <w:rFonts w:ascii="gobCL" w:hAnsi="gobCL"/>
          <w:sz w:val="22"/>
          <w:szCs w:val="22"/>
        </w:rPr>
        <w:t xml:space="preserve">pago de </w:t>
      </w:r>
      <w:r>
        <w:rPr>
          <w:rFonts w:ascii="gobCL" w:hAnsi="gobCL"/>
          <w:sz w:val="22"/>
          <w:szCs w:val="22"/>
        </w:rPr>
        <w:t>patente pesquera</w:t>
      </w:r>
      <w:r w:rsidRPr="001A7430">
        <w:rPr>
          <w:rFonts w:ascii="gobCL" w:hAnsi="gobCL"/>
          <w:sz w:val="22"/>
          <w:szCs w:val="22"/>
        </w:rPr>
        <w:t>.</w:t>
      </w:r>
    </w:p>
    <w:tbl>
      <w:tblPr>
        <w:tblW w:w="6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891"/>
        <w:gridCol w:w="2004"/>
      </w:tblGrid>
      <w:tr w:rsidR="003434E3" w:rsidRPr="001A7430" w14:paraId="658D5E53" w14:textId="77777777" w:rsidTr="00CB12A9">
        <w:trPr>
          <w:trHeight w:val="348"/>
          <w:jc w:val="center"/>
        </w:trPr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A90CD38" w14:textId="77777777" w:rsidR="003434E3" w:rsidRPr="001A7430" w:rsidRDefault="003434E3" w:rsidP="00CB12A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2891" w:type="dxa"/>
            <w:shd w:val="clear" w:color="000000" w:fill="FFFFFF"/>
            <w:noWrap/>
            <w:vAlign w:val="center"/>
            <w:hideMark/>
          </w:tcPr>
          <w:p w14:paraId="101D9F82" w14:textId="77777777" w:rsidR="003434E3" w:rsidRPr="001A7430" w:rsidRDefault="003434E3" w:rsidP="00CB12A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5B7D009D" w14:textId="77777777" w:rsidR="003434E3" w:rsidRPr="001A7430" w:rsidRDefault="003434E3" w:rsidP="00CB12A9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b/>
                <w:color w:val="000000"/>
                <w:sz w:val="20"/>
                <w:szCs w:val="20"/>
              </w:rPr>
              <w:t>Res. Ex. declara caducidad</w:t>
            </w:r>
          </w:p>
        </w:tc>
      </w:tr>
      <w:tr w:rsidR="003434E3" w:rsidRPr="001A7430" w14:paraId="1560CAFA" w14:textId="77777777" w:rsidTr="00CB12A9">
        <w:trPr>
          <w:trHeight w:val="375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88771" w14:textId="570D34BF" w:rsidR="003434E3" w:rsidRPr="001A7430" w:rsidRDefault="003434E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1A7430">
              <w:rPr>
                <w:rFonts w:ascii="gobCL" w:hAnsi="gobCL"/>
                <w:color w:val="000000"/>
                <w:sz w:val="20"/>
                <w:szCs w:val="20"/>
              </w:rPr>
              <w:t>0,000</w:t>
            </w:r>
            <w:r w:rsidR="00C13AE0">
              <w:rPr>
                <w:rFonts w:ascii="gobCL" w:hAnsi="gobCL"/>
                <w:color w:val="000000"/>
                <w:sz w:val="20"/>
                <w:szCs w:val="20"/>
              </w:rPr>
              <w:t>0</w:t>
            </w:r>
            <w:r w:rsidR="006C43F4">
              <w:rPr>
                <w:rFonts w:ascii="gobCL" w:hAnsi="gobC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14:paraId="7420EC77" w14:textId="77777777" w:rsidR="003434E3" w:rsidRPr="001A7430" w:rsidRDefault="003434E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Gonzalo Zúñiga Romero</w:t>
            </w:r>
          </w:p>
        </w:tc>
        <w:tc>
          <w:tcPr>
            <w:tcW w:w="2004" w:type="dxa"/>
            <w:vAlign w:val="center"/>
          </w:tcPr>
          <w:p w14:paraId="2E1C7928" w14:textId="77777777" w:rsidR="003434E3" w:rsidRPr="001A7430" w:rsidRDefault="003434E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2034-2024</w:t>
            </w:r>
          </w:p>
        </w:tc>
      </w:tr>
    </w:tbl>
    <w:p w14:paraId="3D578B53" w14:textId="77777777" w:rsidR="003434E3" w:rsidRDefault="003434E3" w:rsidP="003434E3">
      <w:pPr>
        <w:jc w:val="both"/>
        <w:rPr>
          <w:rFonts w:ascii="gobCL" w:hAnsi="gobCL"/>
          <w:sz w:val="22"/>
          <w:szCs w:val="22"/>
        </w:rPr>
      </w:pPr>
    </w:p>
    <w:p w14:paraId="54CA76F0" w14:textId="390A8D5F" w:rsidR="00660C7A" w:rsidRPr="00ED6E30" w:rsidRDefault="00660C7A" w:rsidP="0022580F">
      <w:pPr>
        <w:pStyle w:val="Textoindependiente"/>
        <w:rPr>
          <w:rFonts w:ascii="gobCL" w:hAnsi="gobCL"/>
          <w:sz w:val="22"/>
          <w:szCs w:val="22"/>
        </w:rPr>
      </w:pPr>
    </w:p>
    <w:p w14:paraId="338FF256" w14:textId="1D421872" w:rsidR="000F33E1" w:rsidRPr="00ED6E30" w:rsidRDefault="000F33E1" w:rsidP="000F33E1">
      <w:pPr>
        <w:rPr>
          <w:rFonts w:ascii="gobCL" w:hAnsi="gobCL"/>
          <w:b/>
          <w:sz w:val="22"/>
          <w:szCs w:val="22"/>
        </w:rPr>
      </w:pPr>
      <w:r w:rsidRPr="00ED6E30">
        <w:rPr>
          <w:rFonts w:ascii="gobCL" w:hAnsi="gobCL"/>
          <w:b/>
          <w:sz w:val="22"/>
          <w:szCs w:val="22"/>
        </w:rPr>
        <w:t>2.3 A</w:t>
      </w:r>
      <w:r w:rsidR="00660C7A" w:rsidRPr="00ED6E30">
        <w:rPr>
          <w:rFonts w:ascii="gobCL" w:hAnsi="gobCL"/>
          <w:b/>
          <w:sz w:val="22"/>
          <w:szCs w:val="22"/>
        </w:rPr>
        <w:t>s</w:t>
      </w:r>
      <w:r w:rsidRPr="00ED6E30">
        <w:rPr>
          <w:rFonts w:ascii="gobCL" w:hAnsi="gobCL"/>
          <w:b/>
          <w:sz w:val="22"/>
          <w:szCs w:val="22"/>
        </w:rPr>
        <w:t xml:space="preserve">pectos técnicos legales importantes </w:t>
      </w:r>
    </w:p>
    <w:p w14:paraId="57787B5C" w14:textId="77777777" w:rsidR="000F33E1" w:rsidRPr="00ED6E30" w:rsidRDefault="000F33E1" w:rsidP="000F33E1">
      <w:pPr>
        <w:rPr>
          <w:rFonts w:ascii="gobCL" w:hAnsi="gobCL"/>
          <w:b/>
          <w:sz w:val="22"/>
          <w:szCs w:val="22"/>
        </w:rPr>
      </w:pPr>
    </w:p>
    <w:p w14:paraId="12DDF035" w14:textId="0DB8BDED" w:rsidR="00394482" w:rsidRPr="000838C3" w:rsidRDefault="00226B2F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2"/>
          <w:szCs w:val="22"/>
          <w:u w:val="single"/>
        </w:rPr>
      </w:pPr>
      <w:r w:rsidRPr="000838C3">
        <w:rPr>
          <w:rFonts w:ascii="gobCL" w:hAnsi="gobCL"/>
          <w:b/>
          <w:bCs/>
          <w:sz w:val="22"/>
          <w:szCs w:val="22"/>
          <w:u w:val="single"/>
        </w:rPr>
        <w:t>Elementos que considerar</w:t>
      </w:r>
      <w:r w:rsidR="00394482" w:rsidRPr="000838C3">
        <w:rPr>
          <w:rFonts w:ascii="gobCL" w:hAnsi="gobCL"/>
          <w:b/>
          <w:bCs/>
          <w:sz w:val="22"/>
          <w:szCs w:val="22"/>
          <w:u w:val="single"/>
        </w:rPr>
        <w:t xml:space="preserve"> en Bases Administrativas de subasta </w:t>
      </w:r>
      <w:r w:rsidR="00945AAB" w:rsidRPr="000838C3">
        <w:rPr>
          <w:rFonts w:ascii="gobCL" w:hAnsi="gobCL"/>
          <w:b/>
          <w:bCs/>
          <w:sz w:val="22"/>
          <w:szCs w:val="22"/>
          <w:u w:val="single"/>
        </w:rPr>
        <w:t xml:space="preserve">de reasignación </w:t>
      </w:r>
      <w:r w:rsidR="00C13AE0">
        <w:rPr>
          <w:rFonts w:ascii="gobCL" w:hAnsi="gobCL"/>
          <w:b/>
          <w:bCs/>
          <w:sz w:val="22"/>
          <w:szCs w:val="22"/>
          <w:u w:val="single"/>
        </w:rPr>
        <w:t xml:space="preserve">LTP </w:t>
      </w:r>
      <w:r w:rsidR="00100AE2">
        <w:rPr>
          <w:rFonts w:ascii="gobCL" w:hAnsi="gobCL"/>
          <w:b/>
          <w:bCs/>
          <w:sz w:val="22"/>
          <w:szCs w:val="22"/>
          <w:u w:val="single"/>
        </w:rPr>
        <w:t>A</w:t>
      </w:r>
    </w:p>
    <w:p w14:paraId="7EACF31C" w14:textId="6894B711" w:rsidR="00394482" w:rsidRPr="00ED6E30" w:rsidRDefault="00394482" w:rsidP="00394482">
      <w:pPr>
        <w:pStyle w:val="Textoindependiente"/>
        <w:rPr>
          <w:rFonts w:ascii="gobCL" w:hAnsi="gobCL"/>
          <w:b/>
          <w:bCs/>
          <w:sz w:val="22"/>
          <w:szCs w:val="22"/>
        </w:rPr>
      </w:pPr>
    </w:p>
    <w:p w14:paraId="5BDABE9E" w14:textId="6C6D4A21" w:rsidR="00394482" w:rsidRPr="00ED6E30" w:rsidRDefault="00F63DA1" w:rsidP="001A46A0">
      <w:pPr>
        <w:pStyle w:val="Textoindependiente"/>
        <w:rPr>
          <w:rFonts w:ascii="gobCL" w:hAnsi="gobCL"/>
          <w:b/>
          <w:bCs/>
          <w:sz w:val="22"/>
          <w:szCs w:val="22"/>
        </w:rPr>
      </w:pPr>
      <w:r w:rsidRPr="00ED6E30">
        <w:rPr>
          <w:rFonts w:ascii="gobCL" w:hAnsi="gobCL"/>
          <w:b/>
          <w:bCs/>
          <w:sz w:val="22"/>
          <w:szCs w:val="22"/>
        </w:rPr>
        <w:t xml:space="preserve">3.1 </w:t>
      </w:r>
      <w:r w:rsidR="00394482" w:rsidRPr="00ED6E30">
        <w:rPr>
          <w:rFonts w:ascii="gobCL" w:hAnsi="gobCL"/>
          <w:b/>
          <w:bCs/>
          <w:sz w:val="22"/>
          <w:szCs w:val="22"/>
        </w:rPr>
        <w:t>Tipo de subasta</w:t>
      </w:r>
    </w:p>
    <w:p w14:paraId="4715F908" w14:textId="5284AF0B" w:rsidR="00394482" w:rsidRPr="00ED6E30" w:rsidRDefault="00394482" w:rsidP="00394482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La subasta del lote se realizará </w:t>
      </w:r>
      <w:r w:rsidRPr="00ED6E30">
        <w:rPr>
          <w:rFonts w:ascii="gobCL" w:hAnsi="gobCL"/>
          <w:b/>
          <w:sz w:val="22"/>
          <w:szCs w:val="22"/>
        </w:rPr>
        <w:t>A SOBRE CERRADO</w:t>
      </w:r>
      <w:r w:rsidRPr="00ED6E30">
        <w:rPr>
          <w:rFonts w:ascii="gobCL" w:hAnsi="gobCL"/>
          <w:bCs/>
          <w:sz w:val="22"/>
          <w:szCs w:val="22"/>
        </w:rPr>
        <w:t xml:space="preserve">, es decir, los interesados realizarán sus ofertas a la Subsecretaría de Pesca y Acuicultura, en sobre cerrado </w:t>
      </w:r>
      <w:r w:rsidR="00220319" w:rsidRPr="00ED6E30">
        <w:rPr>
          <w:rFonts w:ascii="gobCL" w:hAnsi="gobCL"/>
          <w:bCs/>
          <w:sz w:val="22"/>
          <w:szCs w:val="22"/>
        </w:rPr>
        <w:t>de acuerdo con</w:t>
      </w:r>
      <w:r w:rsidRPr="00ED6E30">
        <w:rPr>
          <w:rFonts w:ascii="gobCL" w:hAnsi="gobCL"/>
          <w:bCs/>
          <w:sz w:val="22"/>
          <w:szCs w:val="22"/>
        </w:rPr>
        <w:t xml:space="preserve"> los requisitos y condiciones establecidas en las bases de licitación. Los participantes deberán presentar 3 sobres, denominados de la siguiente manera: </w:t>
      </w:r>
    </w:p>
    <w:p w14:paraId="30FF8D6F" w14:textId="77777777" w:rsidR="00394482" w:rsidRPr="00ED6E30" w:rsidRDefault="00394482" w:rsidP="00394482">
      <w:pPr>
        <w:pStyle w:val="Textoindependiente"/>
        <w:rPr>
          <w:rFonts w:ascii="gobCL" w:hAnsi="gobCL"/>
          <w:bCs/>
          <w:sz w:val="22"/>
          <w:szCs w:val="22"/>
        </w:rPr>
      </w:pPr>
    </w:p>
    <w:p w14:paraId="20219B79" w14:textId="77777777" w:rsidR="009279AE" w:rsidRDefault="00394482" w:rsidP="00394482">
      <w:pPr>
        <w:pStyle w:val="Textoindependiente"/>
        <w:numPr>
          <w:ilvl w:val="0"/>
          <w:numId w:val="41"/>
        </w:numPr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“Sobre </w:t>
      </w:r>
      <w:proofErr w:type="spellStart"/>
      <w:r w:rsidRPr="00ED6E30">
        <w:rPr>
          <w:rFonts w:ascii="gobCL" w:hAnsi="gobCL"/>
          <w:bCs/>
          <w:sz w:val="22"/>
          <w:szCs w:val="22"/>
        </w:rPr>
        <w:t>N°</w:t>
      </w:r>
      <w:proofErr w:type="spellEnd"/>
      <w:r w:rsidRPr="00ED6E30">
        <w:rPr>
          <w:rFonts w:ascii="gobCL" w:hAnsi="gobCL"/>
          <w:bCs/>
          <w:sz w:val="22"/>
          <w:szCs w:val="22"/>
        </w:rPr>
        <w:t xml:space="preserve"> 1 Antecedentes administrativos”, en donde además de contener todos los antecedentes señalados en el D.S. </w:t>
      </w:r>
      <w:proofErr w:type="spellStart"/>
      <w:r w:rsidRPr="00ED6E30">
        <w:rPr>
          <w:rFonts w:ascii="gobCL" w:hAnsi="gobCL"/>
          <w:bCs/>
          <w:sz w:val="22"/>
          <w:szCs w:val="22"/>
        </w:rPr>
        <w:t>Nº</w:t>
      </w:r>
      <w:proofErr w:type="spellEnd"/>
      <w:r w:rsidRPr="00ED6E30">
        <w:rPr>
          <w:rFonts w:ascii="gobCL" w:hAnsi="gobCL"/>
          <w:bCs/>
          <w:sz w:val="22"/>
          <w:szCs w:val="22"/>
        </w:rPr>
        <w:t xml:space="preserve"> 97 de 1996; modificado a través del D.S </w:t>
      </w:r>
      <w:proofErr w:type="spellStart"/>
      <w:r w:rsidRPr="00ED6E30">
        <w:rPr>
          <w:rFonts w:ascii="gobCL" w:hAnsi="gobCL"/>
          <w:bCs/>
          <w:sz w:val="22"/>
          <w:szCs w:val="22"/>
        </w:rPr>
        <w:t>Nº</w:t>
      </w:r>
      <w:proofErr w:type="spellEnd"/>
      <w:r w:rsidRPr="00ED6E30">
        <w:rPr>
          <w:rFonts w:ascii="gobCL" w:hAnsi="gobCL"/>
          <w:bCs/>
          <w:sz w:val="22"/>
          <w:szCs w:val="22"/>
        </w:rPr>
        <w:t xml:space="preserve"> 117 del 2015, </w:t>
      </w:r>
    </w:p>
    <w:p w14:paraId="56E1B9E2" w14:textId="66FD57E3" w:rsidR="00394482" w:rsidRPr="00ED6E30" w:rsidRDefault="00394482" w:rsidP="009279AE">
      <w:pPr>
        <w:pStyle w:val="Textoindependiente"/>
        <w:ind w:left="720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>en su artículo 4°, deberán acompañarse el o los documentos de garantía de seriedad de la oferta.</w:t>
      </w:r>
    </w:p>
    <w:p w14:paraId="1413EF14" w14:textId="4C32BA14" w:rsidR="00CE1362" w:rsidRDefault="00CE1362" w:rsidP="00CE1362">
      <w:pPr>
        <w:pStyle w:val="Textoindependiente"/>
        <w:ind w:left="720"/>
        <w:rPr>
          <w:rFonts w:ascii="gobCL" w:hAnsi="gobCL"/>
          <w:bCs/>
          <w:sz w:val="22"/>
          <w:szCs w:val="22"/>
        </w:rPr>
      </w:pPr>
    </w:p>
    <w:p w14:paraId="11F50998" w14:textId="0AD092C4" w:rsidR="00CE1362" w:rsidRDefault="00394482" w:rsidP="00D0570D">
      <w:pPr>
        <w:pStyle w:val="Textoindependiente"/>
        <w:numPr>
          <w:ilvl w:val="0"/>
          <w:numId w:val="39"/>
        </w:numPr>
        <w:rPr>
          <w:rFonts w:ascii="gobCL" w:hAnsi="gobCL"/>
          <w:bCs/>
          <w:sz w:val="22"/>
          <w:szCs w:val="22"/>
        </w:rPr>
      </w:pPr>
      <w:r w:rsidRPr="00676E72">
        <w:rPr>
          <w:rFonts w:ascii="gobCL" w:hAnsi="gobCL"/>
          <w:bCs/>
          <w:sz w:val="22"/>
          <w:szCs w:val="22"/>
        </w:rPr>
        <w:t xml:space="preserve">“Sobre N° 2 </w:t>
      </w:r>
      <w:r w:rsidR="00676E72">
        <w:rPr>
          <w:rFonts w:ascii="gobCL" w:hAnsi="gobCL"/>
          <w:bCs/>
          <w:sz w:val="22"/>
          <w:szCs w:val="22"/>
        </w:rPr>
        <w:t xml:space="preserve">Oferta económica”, </w:t>
      </w:r>
      <w:r w:rsidR="00676E72" w:rsidRPr="00676E72">
        <w:rPr>
          <w:rFonts w:ascii="gobCL" w:hAnsi="gobCL"/>
          <w:bCs/>
          <w:sz w:val="22"/>
          <w:szCs w:val="22"/>
        </w:rPr>
        <w:t xml:space="preserve">dicho sobre deberá contener </w:t>
      </w:r>
      <w:bookmarkStart w:id="0" w:name="_Hlk118380966"/>
      <w:r w:rsidR="00676E72" w:rsidRPr="00676E72">
        <w:rPr>
          <w:rFonts w:ascii="gobCL" w:hAnsi="gobCL"/>
          <w:bCs/>
          <w:sz w:val="22"/>
          <w:szCs w:val="22"/>
        </w:rPr>
        <w:t xml:space="preserve">un sobre cerrado que debe identificar en el exterior de dicho sobre, </w:t>
      </w:r>
      <w:bookmarkStart w:id="1" w:name="_Hlk118379777"/>
      <w:r w:rsidR="00676E72" w:rsidRPr="00676E72">
        <w:rPr>
          <w:rFonts w:ascii="gobCL" w:hAnsi="gobCL"/>
          <w:bCs/>
          <w:sz w:val="22"/>
          <w:szCs w:val="22"/>
        </w:rPr>
        <w:t>el nombre del oferente, al nombre del recurso,</w:t>
      </w:r>
      <w:bookmarkEnd w:id="1"/>
      <w:r w:rsidR="00676E72" w:rsidRPr="00676E72">
        <w:rPr>
          <w:rFonts w:ascii="gobCL" w:hAnsi="gobCL"/>
          <w:bCs/>
          <w:sz w:val="22"/>
          <w:szCs w:val="22"/>
        </w:rPr>
        <w:t xml:space="preserve"> el </w:t>
      </w:r>
      <w:r w:rsidR="00676E72" w:rsidRPr="00676E72">
        <w:rPr>
          <w:rFonts w:ascii="gobCL" w:hAnsi="gobCL"/>
          <w:bCs/>
          <w:sz w:val="22"/>
          <w:szCs w:val="22"/>
        </w:rPr>
        <w:lastRenderedPageBreak/>
        <w:t>número del lote por el cual se está ofertando y contenido en su interior, deberá indicar el valor de la oferta, expresado en Unidades Tributarias Mensuales (UTM) a la fecha de la presentación. Las ofertas económicas por lote deberán ser mayor o igual que el precio mínimo estimado del recurso.</w:t>
      </w:r>
      <w:bookmarkEnd w:id="0"/>
    </w:p>
    <w:p w14:paraId="222ED3C9" w14:textId="77777777" w:rsidR="00D0570D" w:rsidRPr="00D0570D" w:rsidRDefault="00D0570D" w:rsidP="00D0570D">
      <w:pPr>
        <w:pStyle w:val="Textoindependiente"/>
        <w:ind w:left="720"/>
        <w:rPr>
          <w:rFonts w:ascii="gobCL" w:hAnsi="gobCL"/>
          <w:bCs/>
          <w:sz w:val="22"/>
          <w:szCs w:val="22"/>
        </w:rPr>
      </w:pPr>
    </w:p>
    <w:p w14:paraId="2A521C3C" w14:textId="1F061605" w:rsidR="00394482" w:rsidRPr="00ED6E30" w:rsidRDefault="00EC5570" w:rsidP="00394482">
      <w:pPr>
        <w:pStyle w:val="Textoindependiente"/>
        <w:numPr>
          <w:ilvl w:val="0"/>
          <w:numId w:val="41"/>
        </w:numPr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>” Sobre</w:t>
      </w:r>
      <w:r w:rsidR="00F63DA1" w:rsidRPr="00ED6E30">
        <w:rPr>
          <w:rFonts w:ascii="gobCL" w:hAnsi="gobCL"/>
          <w:bCs/>
          <w:sz w:val="22"/>
          <w:szCs w:val="22"/>
        </w:rPr>
        <w:t xml:space="preserve"> </w:t>
      </w:r>
      <w:r w:rsidR="00394482" w:rsidRPr="00ED6E30">
        <w:rPr>
          <w:rFonts w:ascii="gobCL" w:hAnsi="gobCL"/>
          <w:bCs/>
          <w:sz w:val="22"/>
          <w:szCs w:val="22"/>
        </w:rPr>
        <w:t xml:space="preserve">N° 3 Desempate”, el cual tiene por objeto dirimir posibles desempates entre dos o más oferentes. Este sobre deberá contener </w:t>
      </w:r>
      <w:r w:rsidR="00945AAB">
        <w:rPr>
          <w:rFonts w:ascii="gobCL" w:hAnsi="gobCL"/>
          <w:bCs/>
          <w:sz w:val="22"/>
          <w:szCs w:val="22"/>
        </w:rPr>
        <w:t xml:space="preserve">en su interior, un </w:t>
      </w:r>
      <w:r w:rsidR="00394482" w:rsidRPr="00ED6E30">
        <w:rPr>
          <w:rFonts w:ascii="gobCL" w:hAnsi="gobCL"/>
          <w:bCs/>
          <w:sz w:val="22"/>
          <w:szCs w:val="22"/>
        </w:rPr>
        <w:t xml:space="preserve">sobre de desempate </w:t>
      </w:r>
      <w:r w:rsidR="00945AAB">
        <w:rPr>
          <w:rFonts w:ascii="gobCL" w:hAnsi="gobCL"/>
          <w:bCs/>
          <w:sz w:val="22"/>
          <w:szCs w:val="22"/>
        </w:rPr>
        <w:t xml:space="preserve">por el </w:t>
      </w:r>
      <w:r w:rsidR="00394482" w:rsidRPr="00ED6E30">
        <w:rPr>
          <w:rFonts w:ascii="gobCL" w:hAnsi="gobCL"/>
          <w:bCs/>
          <w:sz w:val="22"/>
          <w:szCs w:val="22"/>
        </w:rPr>
        <w:t>lote</w:t>
      </w:r>
      <w:r w:rsidR="00945AAB">
        <w:rPr>
          <w:rFonts w:ascii="gobCL" w:hAnsi="gobCL"/>
          <w:bCs/>
          <w:sz w:val="22"/>
          <w:szCs w:val="22"/>
        </w:rPr>
        <w:t xml:space="preserve"> a subastar</w:t>
      </w:r>
      <w:r w:rsidR="00394482" w:rsidRPr="00ED6E30">
        <w:rPr>
          <w:rFonts w:ascii="gobCL" w:hAnsi="gobCL"/>
          <w:bCs/>
          <w:sz w:val="22"/>
          <w:szCs w:val="22"/>
        </w:rPr>
        <w:t>.</w:t>
      </w:r>
    </w:p>
    <w:p w14:paraId="62D88B09" w14:textId="77777777" w:rsidR="00A0609F" w:rsidRPr="00ED6E30" w:rsidRDefault="00A0609F" w:rsidP="00E82279">
      <w:pPr>
        <w:pStyle w:val="Textoindependiente"/>
        <w:rPr>
          <w:rFonts w:ascii="gobCL" w:hAnsi="gobCL"/>
          <w:sz w:val="22"/>
          <w:szCs w:val="22"/>
        </w:rPr>
      </w:pPr>
    </w:p>
    <w:p w14:paraId="79F74D52" w14:textId="4BC8E8BC" w:rsidR="001A46A0" w:rsidRPr="00ED6E30" w:rsidRDefault="00F63DA1" w:rsidP="001A46A0">
      <w:pPr>
        <w:pStyle w:val="Textoindependiente"/>
        <w:rPr>
          <w:rFonts w:ascii="gobCL" w:hAnsi="gobCL"/>
          <w:b/>
          <w:bCs/>
          <w:sz w:val="22"/>
          <w:szCs w:val="22"/>
        </w:rPr>
      </w:pPr>
      <w:r w:rsidRPr="00ED6E30">
        <w:rPr>
          <w:rFonts w:ascii="gobCL" w:hAnsi="gobCL"/>
          <w:b/>
          <w:bCs/>
          <w:sz w:val="22"/>
          <w:szCs w:val="22"/>
        </w:rPr>
        <w:t xml:space="preserve">3.2 </w:t>
      </w:r>
      <w:r w:rsidR="001A46A0" w:rsidRPr="00ED6E30">
        <w:rPr>
          <w:rFonts w:ascii="gobCL" w:hAnsi="gobCL"/>
          <w:b/>
          <w:bCs/>
          <w:sz w:val="22"/>
          <w:szCs w:val="22"/>
        </w:rPr>
        <w:t>Lotes</w:t>
      </w:r>
      <w:r w:rsidR="006B285F" w:rsidRPr="00ED6E30">
        <w:rPr>
          <w:rFonts w:ascii="gobCL" w:hAnsi="gobCL"/>
          <w:b/>
          <w:bCs/>
          <w:sz w:val="22"/>
          <w:szCs w:val="22"/>
        </w:rPr>
        <w:t xml:space="preserve"> y precio mínimo</w:t>
      </w:r>
    </w:p>
    <w:p w14:paraId="42F40525" w14:textId="77777777" w:rsidR="0099250A" w:rsidRDefault="0099250A" w:rsidP="00CE1362">
      <w:pPr>
        <w:pStyle w:val="Textoindependiente"/>
        <w:rPr>
          <w:rFonts w:ascii="gobCL" w:hAnsi="gobCL"/>
          <w:bCs/>
          <w:sz w:val="22"/>
          <w:szCs w:val="22"/>
        </w:rPr>
      </w:pPr>
    </w:p>
    <w:p w14:paraId="1454E3CF" w14:textId="77777777" w:rsidR="00C13AE0" w:rsidRPr="00C13AE0" w:rsidRDefault="00C13AE0" w:rsidP="00C13AE0">
      <w:pPr>
        <w:pStyle w:val="Textoindependiente"/>
        <w:numPr>
          <w:ilvl w:val="0"/>
          <w:numId w:val="49"/>
        </w:numPr>
        <w:rPr>
          <w:rFonts w:ascii="gobCL" w:hAnsi="gobCL"/>
          <w:b/>
          <w:bCs/>
          <w:sz w:val="22"/>
          <w:szCs w:val="22"/>
        </w:rPr>
      </w:pPr>
      <w:r w:rsidRPr="00C13AE0">
        <w:rPr>
          <w:rFonts w:ascii="gobCL" w:hAnsi="gobCL"/>
          <w:b/>
          <w:bCs/>
          <w:sz w:val="22"/>
          <w:szCs w:val="22"/>
        </w:rPr>
        <w:t>Langostino amarillo unidad de pesquería Atacama-Coquimbo</w:t>
      </w:r>
    </w:p>
    <w:p w14:paraId="71368B12" w14:textId="1D3CC79A" w:rsidR="00CE1362" w:rsidRPr="00ED6E30" w:rsidRDefault="00CE1362" w:rsidP="001A46A0">
      <w:pPr>
        <w:pStyle w:val="Textoindependiente"/>
        <w:rPr>
          <w:rFonts w:ascii="gobCL" w:hAnsi="gobCL"/>
          <w:bCs/>
          <w:sz w:val="22"/>
          <w:szCs w:val="22"/>
        </w:rPr>
      </w:pPr>
    </w:p>
    <w:p w14:paraId="405AD56A" w14:textId="2F1C187E" w:rsidR="00CE1362" w:rsidRPr="00ED6E30" w:rsidRDefault="00AC3CA4" w:rsidP="00CE1362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En base a la cuota industrial de la pesquería de </w:t>
      </w:r>
      <w:r w:rsidR="00C13AE0">
        <w:rPr>
          <w:rFonts w:ascii="gobCL" w:hAnsi="gobCL"/>
          <w:bCs/>
          <w:sz w:val="22"/>
          <w:szCs w:val="22"/>
        </w:rPr>
        <w:t>langostino amarillo</w:t>
      </w:r>
      <w:r w:rsidRPr="00ED6E30">
        <w:rPr>
          <w:rFonts w:ascii="gobCL" w:hAnsi="gobCL"/>
          <w:bCs/>
          <w:sz w:val="22"/>
          <w:szCs w:val="22"/>
        </w:rPr>
        <w:t xml:space="preserve"> se deben subastar un lote de </w:t>
      </w:r>
      <w:r w:rsidR="00C13AE0">
        <w:rPr>
          <w:rFonts w:ascii="gobCL" w:hAnsi="gobCL"/>
          <w:bCs/>
          <w:sz w:val="22"/>
          <w:szCs w:val="22"/>
        </w:rPr>
        <w:t xml:space="preserve">coeficiente de participación </w:t>
      </w:r>
      <w:r w:rsidR="00C13AE0" w:rsidRPr="00C13AE0">
        <w:rPr>
          <w:rFonts w:ascii="gobCL" w:hAnsi="gobCL"/>
          <w:bCs/>
          <w:sz w:val="22"/>
          <w:szCs w:val="22"/>
        </w:rPr>
        <w:t>de 0,0000600 de la fracción industrial de la cuota global de captura</w:t>
      </w:r>
      <w:r w:rsidRPr="00ED6E30">
        <w:rPr>
          <w:rFonts w:ascii="gobCL" w:hAnsi="gobCL"/>
          <w:bCs/>
          <w:sz w:val="22"/>
          <w:szCs w:val="22"/>
        </w:rPr>
        <w:t xml:space="preserve">. </w:t>
      </w:r>
      <w:proofErr w:type="gramStart"/>
      <w:r w:rsidR="001F3516">
        <w:rPr>
          <w:rFonts w:ascii="gobCL" w:hAnsi="gobCL"/>
          <w:bCs/>
          <w:sz w:val="22"/>
          <w:szCs w:val="22"/>
        </w:rPr>
        <w:t>E</w:t>
      </w:r>
      <w:r w:rsidR="000E489F" w:rsidRPr="00ED6E30">
        <w:rPr>
          <w:rFonts w:ascii="gobCL" w:hAnsi="gobCL"/>
          <w:bCs/>
          <w:sz w:val="22"/>
          <w:szCs w:val="22"/>
        </w:rPr>
        <w:t>l</w:t>
      </w:r>
      <w:r w:rsidRPr="00ED6E30">
        <w:rPr>
          <w:rFonts w:ascii="gobCL" w:hAnsi="gobCL"/>
          <w:bCs/>
          <w:sz w:val="22"/>
          <w:szCs w:val="22"/>
        </w:rPr>
        <w:t xml:space="preserve"> lote a subastar</w:t>
      </w:r>
      <w:proofErr w:type="gramEnd"/>
      <w:r w:rsidRPr="00ED6E30">
        <w:rPr>
          <w:rFonts w:ascii="gobCL" w:hAnsi="gobCL"/>
          <w:bCs/>
          <w:sz w:val="22"/>
          <w:szCs w:val="22"/>
        </w:rPr>
        <w:t xml:space="preserve"> y las toneladas que representa de acuerdo a la cuota del año 202</w:t>
      </w:r>
      <w:r w:rsidR="00C13AE0">
        <w:rPr>
          <w:rFonts w:ascii="gobCL" w:hAnsi="gobCL"/>
          <w:bCs/>
          <w:sz w:val="22"/>
          <w:szCs w:val="22"/>
        </w:rPr>
        <w:t>5</w:t>
      </w:r>
      <w:r w:rsidRPr="00ED6E30">
        <w:rPr>
          <w:rFonts w:ascii="gobCL" w:hAnsi="gobCL"/>
          <w:bCs/>
          <w:sz w:val="22"/>
          <w:szCs w:val="22"/>
        </w:rPr>
        <w:t>, con vigencia desde 20</w:t>
      </w:r>
      <w:r w:rsidR="00932186">
        <w:rPr>
          <w:rFonts w:ascii="gobCL" w:hAnsi="gobCL"/>
          <w:bCs/>
          <w:sz w:val="22"/>
          <w:szCs w:val="22"/>
        </w:rPr>
        <w:t>25</w:t>
      </w:r>
      <w:r w:rsidRPr="00ED6E30">
        <w:rPr>
          <w:rFonts w:ascii="gobCL" w:hAnsi="gobCL"/>
          <w:bCs/>
          <w:sz w:val="22"/>
          <w:szCs w:val="22"/>
        </w:rPr>
        <w:t xml:space="preserve"> hasta 203</w:t>
      </w:r>
      <w:r w:rsidR="00C13AE0">
        <w:rPr>
          <w:rFonts w:ascii="gobCL" w:hAnsi="gobCL"/>
          <w:bCs/>
          <w:sz w:val="22"/>
          <w:szCs w:val="22"/>
        </w:rPr>
        <w:t>2</w:t>
      </w:r>
      <w:r w:rsidRPr="00ED6E30">
        <w:rPr>
          <w:rFonts w:ascii="gobCL" w:hAnsi="gobCL"/>
          <w:bCs/>
          <w:sz w:val="22"/>
          <w:szCs w:val="22"/>
        </w:rPr>
        <w:t xml:space="preserve"> (</w:t>
      </w:r>
      <w:r w:rsidR="00932186">
        <w:rPr>
          <w:rFonts w:ascii="gobCL" w:hAnsi="gobCL"/>
          <w:bCs/>
          <w:sz w:val="22"/>
          <w:szCs w:val="22"/>
        </w:rPr>
        <w:t>8</w:t>
      </w:r>
      <w:r w:rsidR="000E489F" w:rsidRPr="00ED6E30">
        <w:rPr>
          <w:rFonts w:ascii="gobCL" w:hAnsi="gobCL"/>
          <w:bCs/>
          <w:sz w:val="22"/>
          <w:szCs w:val="22"/>
        </w:rPr>
        <w:t xml:space="preserve"> </w:t>
      </w:r>
      <w:r w:rsidRPr="00ED6E30">
        <w:rPr>
          <w:rFonts w:ascii="gobCL" w:hAnsi="gobCL"/>
          <w:bCs/>
          <w:sz w:val="22"/>
          <w:szCs w:val="22"/>
        </w:rPr>
        <w:t xml:space="preserve">años), son las que se detallan en la Tabla </w:t>
      </w:r>
      <w:r w:rsidR="00D0570D">
        <w:rPr>
          <w:rFonts w:ascii="gobCL" w:hAnsi="gobCL"/>
          <w:bCs/>
          <w:sz w:val="22"/>
          <w:szCs w:val="22"/>
        </w:rPr>
        <w:t>4</w:t>
      </w:r>
      <w:r w:rsidR="00CE1362" w:rsidRPr="00ED6E30">
        <w:rPr>
          <w:rFonts w:ascii="gobCL" w:hAnsi="gobCL"/>
          <w:bCs/>
          <w:sz w:val="22"/>
          <w:szCs w:val="22"/>
        </w:rPr>
        <w:t xml:space="preserve">. </w:t>
      </w:r>
    </w:p>
    <w:p w14:paraId="77BA1088" w14:textId="77777777" w:rsidR="00CE1362" w:rsidRPr="00ED6E30" w:rsidRDefault="00CE1362" w:rsidP="00CE1362">
      <w:pPr>
        <w:pStyle w:val="Textoindependiente"/>
        <w:rPr>
          <w:rFonts w:ascii="gobCL" w:hAnsi="gobCL"/>
          <w:bCs/>
          <w:sz w:val="22"/>
          <w:szCs w:val="22"/>
        </w:rPr>
      </w:pPr>
    </w:p>
    <w:p w14:paraId="3819271F" w14:textId="4D7C27FC" w:rsidR="00CE1362" w:rsidRPr="002D52AF" w:rsidRDefault="00CE1362" w:rsidP="00CE1362">
      <w:pPr>
        <w:pStyle w:val="Textoindependiente"/>
        <w:jc w:val="center"/>
        <w:rPr>
          <w:rFonts w:ascii="gobCL" w:hAnsi="gobCL"/>
          <w:szCs w:val="20"/>
        </w:rPr>
      </w:pPr>
      <w:r w:rsidRPr="002D52AF">
        <w:rPr>
          <w:rFonts w:ascii="gobCL" w:hAnsi="gobCL"/>
          <w:szCs w:val="20"/>
        </w:rPr>
        <w:t xml:space="preserve">Tabla </w:t>
      </w:r>
      <w:r w:rsidR="00D0570D">
        <w:rPr>
          <w:rFonts w:ascii="gobCL" w:hAnsi="gobCL"/>
          <w:szCs w:val="20"/>
        </w:rPr>
        <w:t>4</w:t>
      </w:r>
      <w:r w:rsidRPr="002D52AF">
        <w:rPr>
          <w:rFonts w:ascii="gobCL" w:hAnsi="gobCL"/>
          <w:szCs w:val="20"/>
        </w:rPr>
        <w:t>. Lote a subastar, precio mínimo en $/lote y UTM/lote</w:t>
      </w:r>
      <w:r w:rsidRPr="002D52AF" w:rsidDel="001261BE">
        <w:rPr>
          <w:rFonts w:ascii="gobCL" w:hAnsi="gobCL"/>
          <w:szCs w:val="20"/>
        </w:rPr>
        <w:t xml:space="preserve"> </w:t>
      </w:r>
      <w:r w:rsidRPr="002D52AF">
        <w:rPr>
          <w:rFonts w:ascii="gobCL" w:hAnsi="gobCL"/>
          <w:szCs w:val="20"/>
        </w:rPr>
        <w:t xml:space="preserve">para </w:t>
      </w:r>
      <w:r w:rsidR="00932186">
        <w:rPr>
          <w:rFonts w:ascii="gobCL" w:hAnsi="gobCL"/>
          <w:szCs w:val="20"/>
        </w:rPr>
        <w:t>langostino amarillo</w:t>
      </w:r>
      <w:r w:rsidR="0067582B" w:rsidRPr="002D52AF">
        <w:rPr>
          <w:rFonts w:ascii="gobCL" w:hAnsi="gobCL"/>
          <w:szCs w:val="20"/>
        </w:rPr>
        <w:t xml:space="preserve"> </w:t>
      </w:r>
      <w:r w:rsidR="008E736F">
        <w:rPr>
          <w:rFonts w:ascii="gobCL" w:hAnsi="gobCL"/>
          <w:szCs w:val="20"/>
        </w:rPr>
        <w:t>ATCMA-COQ</w:t>
      </w:r>
      <w:r w:rsidRPr="002D52AF">
        <w:rPr>
          <w:rFonts w:ascii="gobCL" w:hAnsi="gobCL"/>
          <w:szCs w:val="20"/>
        </w:rPr>
        <w:t>.</w:t>
      </w:r>
    </w:p>
    <w:tbl>
      <w:tblPr>
        <w:tblW w:w="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1328"/>
        <w:gridCol w:w="1639"/>
        <w:gridCol w:w="1490"/>
      </w:tblGrid>
      <w:tr w:rsidR="00932186" w:rsidRPr="00ED6E30" w14:paraId="24817F54" w14:textId="77777777" w:rsidTr="00932186">
        <w:trPr>
          <w:trHeight w:val="531"/>
          <w:jc w:val="center"/>
        </w:trPr>
        <w:tc>
          <w:tcPr>
            <w:tcW w:w="1537" w:type="dxa"/>
            <w:vAlign w:val="center"/>
          </w:tcPr>
          <w:p w14:paraId="71F6EE00" w14:textId="1C142C3E" w:rsidR="00932186" w:rsidRPr="002D52AF" w:rsidRDefault="00932186" w:rsidP="00995611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29156C3D" w14:textId="6D678CE7" w:rsidR="00932186" w:rsidRPr="002D52AF" w:rsidRDefault="00932186" w:rsidP="00995611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Tamaño lote (t)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A2F7BFC" w14:textId="13B0423A" w:rsidR="003004C8" w:rsidRPr="002D52AF" w:rsidRDefault="00932186" w:rsidP="003004C8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Precio Mínimo en $</w:t>
            </w:r>
            <w:r w:rsidR="003004C8">
              <w:rPr>
                <w:rFonts w:ascii="gobCL" w:hAnsi="gobCL"/>
                <w:bCs/>
                <w:color w:val="000000"/>
                <w:sz w:val="20"/>
                <w:szCs w:val="20"/>
              </w:rPr>
              <w:t>/lote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22F1777B" w14:textId="40B209CC" w:rsidR="00932186" w:rsidRPr="002D52AF" w:rsidRDefault="00932186" w:rsidP="00995611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Precio Mínimo en UTM</w:t>
            </w:r>
            <w:r w:rsidR="003004C8">
              <w:rPr>
                <w:rFonts w:ascii="gobCL" w:hAnsi="gobCL"/>
                <w:bCs/>
                <w:color w:val="000000"/>
                <w:sz w:val="20"/>
                <w:szCs w:val="20"/>
              </w:rPr>
              <w:t>/lote</w:t>
            </w:r>
          </w:p>
        </w:tc>
      </w:tr>
      <w:tr w:rsidR="00932186" w:rsidRPr="00ED6E30" w14:paraId="49BB4705" w14:textId="77777777" w:rsidTr="00932186">
        <w:trPr>
          <w:trHeight w:val="315"/>
          <w:jc w:val="center"/>
        </w:trPr>
        <w:tc>
          <w:tcPr>
            <w:tcW w:w="1537" w:type="dxa"/>
            <w:vAlign w:val="center"/>
          </w:tcPr>
          <w:p w14:paraId="5A8C7C6E" w14:textId="61AE1D70" w:rsidR="00932186" w:rsidRPr="002D52AF" w:rsidRDefault="00932186" w:rsidP="00A3229D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0,0000600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A8E7D4C" w14:textId="0EFD0B81" w:rsidR="00932186" w:rsidRPr="003004C8" w:rsidRDefault="003004C8" w:rsidP="00A3229D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3004C8">
              <w:rPr>
                <w:rFonts w:ascii="gobCL" w:hAnsi="gobCL"/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769B7AF" w14:textId="705354BE" w:rsidR="00932186" w:rsidRPr="003004C8" w:rsidRDefault="003004C8" w:rsidP="00A3229D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3004C8">
              <w:rPr>
                <w:rFonts w:ascii="gobCL" w:hAnsi="gobCL"/>
                <w:color w:val="000000"/>
                <w:sz w:val="20"/>
                <w:szCs w:val="20"/>
              </w:rPr>
              <w:t>7.757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1DB87DB5" w14:textId="754B3514" w:rsidR="00932186" w:rsidRPr="003004C8" w:rsidRDefault="003004C8" w:rsidP="00A3229D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0,116</w:t>
            </w:r>
          </w:p>
        </w:tc>
      </w:tr>
    </w:tbl>
    <w:p w14:paraId="0B6AC920" w14:textId="77777777" w:rsidR="00AC3CA4" w:rsidRPr="00ED6E30" w:rsidRDefault="00AC3CA4" w:rsidP="00CE1362">
      <w:pPr>
        <w:pStyle w:val="Textoindependiente"/>
        <w:rPr>
          <w:rFonts w:ascii="gobCL" w:hAnsi="gobCL"/>
          <w:bCs/>
          <w:sz w:val="22"/>
          <w:szCs w:val="22"/>
        </w:rPr>
      </w:pPr>
    </w:p>
    <w:p w14:paraId="6A9F76A0" w14:textId="1249C467" w:rsidR="00CE1362" w:rsidRPr="00ED6E30" w:rsidRDefault="00CE1362" w:rsidP="00CE1362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Además, se calculó el precio mínimo de la oferta del recurso </w:t>
      </w:r>
      <w:r w:rsidR="009E0C51">
        <w:rPr>
          <w:rFonts w:ascii="gobCL" w:hAnsi="gobCL"/>
          <w:bCs/>
          <w:sz w:val="22"/>
          <w:szCs w:val="22"/>
        </w:rPr>
        <w:t>langostino amarillo</w:t>
      </w:r>
      <w:r w:rsidRPr="00ED6E30">
        <w:rPr>
          <w:rFonts w:ascii="gobCL" w:hAnsi="gobCL"/>
          <w:bCs/>
          <w:sz w:val="22"/>
          <w:szCs w:val="22"/>
        </w:rPr>
        <w:t xml:space="preserve"> de la siguiente manera: </w:t>
      </w:r>
    </w:p>
    <w:p w14:paraId="0296BCFC" w14:textId="78944F57" w:rsidR="00CE1362" w:rsidRPr="00ED6E30" w:rsidRDefault="00CE1362" w:rsidP="00CE1362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Precio mínimo = (Toneladas a subastar) * (VS </w:t>
      </w:r>
      <w:proofErr w:type="spellStart"/>
      <w:proofErr w:type="gramStart"/>
      <w:r w:rsidR="009E0C51">
        <w:rPr>
          <w:rFonts w:ascii="gobCL" w:hAnsi="gobCL"/>
          <w:bCs/>
          <w:sz w:val="22"/>
          <w:szCs w:val="22"/>
          <w:vertAlign w:val="subscript"/>
        </w:rPr>
        <w:t>l.amarillo</w:t>
      </w:r>
      <w:proofErr w:type="spellEnd"/>
      <w:proofErr w:type="gramEnd"/>
      <w:r w:rsidRPr="00ED6E30">
        <w:rPr>
          <w:rFonts w:ascii="gobCL" w:hAnsi="gobCL"/>
          <w:bCs/>
          <w:sz w:val="22"/>
          <w:szCs w:val="22"/>
        </w:rPr>
        <w:t xml:space="preserve">) * (UTM) * 4,2% </w:t>
      </w:r>
    </w:p>
    <w:p w14:paraId="6BDCAF64" w14:textId="1239B9EB" w:rsidR="00CE1362" w:rsidRPr="00ED6E30" w:rsidRDefault="00CE1362" w:rsidP="003004C8">
      <w:pPr>
        <w:pStyle w:val="Textoindependiente"/>
        <w:rPr>
          <w:rFonts w:ascii="gobCL" w:hAnsi="gobCL"/>
          <w:bCs/>
          <w:sz w:val="22"/>
          <w:szCs w:val="22"/>
        </w:rPr>
      </w:pPr>
    </w:p>
    <w:p w14:paraId="4CFDFC24" w14:textId="4A5C1457" w:rsidR="00CD2E79" w:rsidRPr="00ED6E30" w:rsidRDefault="004D41DA" w:rsidP="003004C8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  <w:lang w:val="es-CL"/>
        </w:rPr>
        <w:t>Las toneladas por subastar</w:t>
      </w:r>
      <w:r w:rsidR="00CD2E79" w:rsidRPr="00ED6E30">
        <w:rPr>
          <w:rFonts w:ascii="gobCL" w:hAnsi="gobCL"/>
          <w:sz w:val="22"/>
          <w:szCs w:val="22"/>
          <w:lang w:val="es-CL"/>
        </w:rPr>
        <w:t xml:space="preserve"> corresponden a </w:t>
      </w:r>
      <w:r w:rsidR="000E489F" w:rsidRPr="00ED6E30">
        <w:rPr>
          <w:rFonts w:ascii="gobCL" w:hAnsi="gobCL"/>
          <w:sz w:val="22"/>
          <w:szCs w:val="22"/>
          <w:lang w:val="es-CL"/>
        </w:rPr>
        <w:t xml:space="preserve">un </w:t>
      </w:r>
      <w:r w:rsidR="00CD2E79" w:rsidRPr="00ED6E30">
        <w:rPr>
          <w:rFonts w:ascii="gobCL" w:hAnsi="gobCL"/>
          <w:sz w:val="22"/>
          <w:szCs w:val="22"/>
          <w:lang w:val="es-CL"/>
        </w:rPr>
        <w:t xml:space="preserve">lote de </w:t>
      </w:r>
      <w:r w:rsidR="00444FDB">
        <w:rPr>
          <w:rFonts w:ascii="gobCL" w:hAnsi="gobCL"/>
          <w:sz w:val="22"/>
          <w:szCs w:val="22"/>
          <w:lang w:val="es-CL"/>
        </w:rPr>
        <w:t xml:space="preserve">coeficiente de participación de </w:t>
      </w:r>
      <w:r w:rsidR="00444FDB" w:rsidRPr="001B55E3">
        <w:rPr>
          <w:rFonts w:ascii="gobCL" w:hAnsi="gobCL"/>
          <w:sz w:val="22"/>
          <w:szCs w:val="22"/>
          <w:lang w:val="es-CL"/>
        </w:rPr>
        <w:t>0,000</w:t>
      </w:r>
      <w:r w:rsidR="001B55E3">
        <w:rPr>
          <w:rFonts w:ascii="gobCL" w:hAnsi="gobCL"/>
          <w:sz w:val="22"/>
          <w:szCs w:val="22"/>
          <w:lang w:val="es-CL"/>
        </w:rPr>
        <w:t>6</w:t>
      </w:r>
      <w:r w:rsidR="00444FDB" w:rsidRPr="001B55E3">
        <w:rPr>
          <w:rFonts w:ascii="gobCL" w:hAnsi="gobCL"/>
          <w:sz w:val="22"/>
          <w:szCs w:val="22"/>
          <w:lang w:val="es-CL"/>
        </w:rPr>
        <w:t>00</w:t>
      </w:r>
      <w:r w:rsidR="00CD2E79" w:rsidRPr="001B55E3">
        <w:rPr>
          <w:rFonts w:ascii="gobCL" w:hAnsi="gobCL"/>
          <w:sz w:val="22"/>
          <w:szCs w:val="22"/>
          <w:lang w:val="es-CL"/>
        </w:rPr>
        <w:t xml:space="preserve"> de </w:t>
      </w:r>
      <w:r w:rsidR="003004C8" w:rsidRPr="003004C8">
        <w:rPr>
          <w:rFonts w:ascii="gobCL" w:hAnsi="gobCL"/>
          <w:sz w:val="22"/>
          <w:szCs w:val="22"/>
          <w:lang w:val="es-CL"/>
        </w:rPr>
        <w:t>0,66</w:t>
      </w:r>
      <w:r w:rsidR="00CD2E79" w:rsidRPr="003004C8">
        <w:rPr>
          <w:rFonts w:ascii="gobCL" w:hAnsi="gobCL"/>
          <w:sz w:val="22"/>
          <w:szCs w:val="22"/>
          <w:lang w:val="es-CL"/>
        </w:rPr>
        <w:t xml:space="preserve"> toneladas</w:t>
      </w:r>
      <w:r w:rsidR="001B55E3" w:rsidRPr="003004C8">
        <w:rPr>
          <w:rFonts w:ascii="gobCL" w:hAnsi="gobCL"/>
          <w:sz w:val="22"/>
          <w:szCs w:val="22"/>
          <w:lang w:val="es-CL"/>
        </w:rPr>
        <w:t>.</w:t>
      </w:r>
    </w:p>
    <w:p w14:paraId="46BED1BC" w14:textId="10F0D397" w:rsidR="00CD2E79" w:rsidRPr="00ED6E30" w:rsidRDefault="00CD2E79" w:rsidP="003004C8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 xml:space="preserve">Valor sanción fijado en D. Ex. </w:t>
      </w:r>
      <w:proofErr w:type="spellStart"/>
      <w:r w:rsidRPr="00ED6E30">
        <w:rPr>
          <w:rFonts w:ascii="gobCL" w:hAnsi="gobCL"/>
          <w:sz w:val="22"/>
          <w:szCs w:val="22"/>
        </w:rPr>
        <w:t>Nº</w:t>
      </w:r>
      <w:proofErr w:type="spellEnd"/>
      <w:r w:rsidRPr="00ED6E30">
        <w:rPr>
          <w:rFonts w:ascii="gobCL" w:hAnsi="gobCL"/>
          <w:sz w:val="22"/>
          <w:szCs w:val="22"/>
        </w:rPr>
        <w:t xml:space="preserve"> </w:t>
      </w:r>
      <w:r w:rsidR="001B55E3">
        <w:rPr>
          <w:rFonts w:ascii="gobCL" w:hAnsi="gobCL"/>
          <w:sz w:val="22"/>
          <w:szCs w:val="22"/>
        </w:rPr>
        <w:t>147</w:t>
      </w:r>
      <w:r w:rsidRPr="00ED6E30">
        <w:rPr>
          <w:rFonts w:ascii="gobCL" w:hAnsi="gobCL"/>
          <w:sz w:val="22"/>
          <w:szCs w:val="22"/>
        </w:rPr>
        <w:t>/20</w:t>
      </w:r>
      <w:r w:rsidR="004D41DA" w:rsidRPr="00ED6E30">
        <w:rPr>
          <w:rFonts w:ascii="gobCL" w:hAnsi="gobCL"/>
          <w:sz w:val="22"/>
          <w:szCs w:val="22"/>
        </w:rPr>
        <w:t>2</w:t>
      </w:r>
      <w:r w:rsidR="001B55E3">
        <w:rPr>
          <w:rFonts w:ascii="gobCL" w:hAnsi="gobCL"/>
          <w:sz w:val="22"/>
          <w:szCs w:val="22"/>
        </w:rPr>
        <w:t>3</w:t>
      </w:r>
      <w:r w:rsidRPr="00ED6E30">
        <w:rPr>
          <w:rFonts w:ascii="gobCL" w:hAnsi="gobCL"/>
          <w:sz w:val="22"/>
          <w:szCs w:val="22"/>
        </w:rPr>
        <w:t xml:space="preserve"> para </w:t>
      </w:r>
      <w:r w:rsidR="001B55E3">
        <w:rPr>
          <w:rFonts w:ascii="gobCL" w:hAnsi="gobCL"/>
          <w:sz w:val="22"/>
          <w:szCs w:val="22"/>
        </w:rPr>
        <w:t>langostino amarillo</w:t>
      </w:r>
      <w:r w:rsidRPr="00ED6E30">
        <w:rPr>
          <w:rFonts w:ascii="gobCL" w:hAnsi="gobCL"/>
          <w:sz w:val="22"/>
          <w:szCs w:val="22"/>
        </w:rPr>
        <w:t xml:space="preserve"> es de </w:t>
      </w:r>
      <w:r w:rsidR="001B55E3">
        <w:rPr>
          <w:rFonts w:ascii="gobCL" w:hAnsi="gobCL"/>
          <w:sz w:val="22"/>
          <w:szCs w:val="22"/>
        </w:rPr>
        <w:t>42</w:t>
      </w:r>
      <w:r w:rsidR="004D41DA" w:rsidRPr="00ED6E30">
        <w:rPr>
          <w:rFonts w:ascii="gobCL" w:hAnsi="gobCL"/>
          <w:sz w:val="22"/>
          <w:szCs w:val="22"/>
        </w:rPr>
        <w:t>,</w:t>
      </w:r>
      <w:r w:rsidR="001B55E3">
        <w:rPr>
          <w:rFonts w:ascii="gobCL" w:hAnsi="gobCL"/>
          <w:sz w:val="22"/>
          <w:szCs w:val="22"/>
        </w:rPr>
        <w:t>0</w:t>
      </w:r>
      <w:r w:rsidRPr="00ED6E30">
        <w:rPr>
          <w:rFonts w:ascii="gobCL" w:hAnsi="gobCL"/>
          <w:sz w:val="22"/>
          <w:szCs w:val="22"/>
        </w:rPr>
        <w:t xml:space="preserve"> UTM/</w:t>
      </w:r>
      <w:r w:rsidR="004C0AF3" w:rsidRPr="00ED6E30">
        <w:rPr>
          <w:rFonts w:ascii="gobCL" w:hAnsi="gobCL"/>
          <w:sz w:val="22"/>
          <w:szCs w:val="22"/>
        </w:rPr>
        <w:t>t</w:t>
      </w:r>
      <w:r w:rsidRPr="00ED6E30">
        <w:rPr>
          <w:rFonts w:ascii="gobCL" w:hAnsi="gobCL"/>
          <w:sz w:val="22"/>
          <w:szCs w:val="22"/>
        </w:rPr>
        <w:t xml:space="preserve">, considerando el valor de UTM = </w:t>
      </w:r>
      <w:r w:rsidRPr="00EE6C70">
        <w:rPr>
          <w:rFonts w:ascii="gobCL" w:hAnsi="gobCL"/>
          <w:sz w:val="22"/>
          <w:szCs w:val="22"/>
        </w:rPr>
        <w:t>$</w:t>
      </w:r>
      <w:r w:rsidR="00EE6C70" w:rsidRPr="00EE6C70">
        <w:rPr>
          <w:rFonts w:ascii="gobCL" w:hAnsi="gobCL"/>
          <w:sz w:val="22"/>
          <w:szCs w:val="22"/>
        </w:rPr>
        <w:t>66.628</w:t>
      </w:r>
      <w:r w:rsidRPr="00EE6C70">
        <w:rPr>
          <w:rFonts w:ascii="gobCL" w:hAnsi="gobCL"/>
          <w:sz w:val="22"/>
          <w:szCs w:val="22"/>
        </w:rPr>
        <w:t xml:space="preserve"> del mes de </w:t>
      </w:r>
      <w:r w:rsidR="00EE6C70" w:rsidRPr="00EE6C70">
        <w:rPr>
          <w:rFonts w:ascii="gobCL" w:hAnsi="gobCL"/>
          <w:sz w:val="22"/>
          <w:szCs w:val="22"/>
        </w:rPr>
        <w:t>noviembre</w:t>
      </w:r>
      <w:r w:rsidRPr="00EE6C70">
        <w:rPr>
          <w:rFonts w:ascii="gobCL" w:hAnsi="gobCL"/>
          <w:sz w:val="22"/>
          <w:szCs w:val="22"/>
        </w:rPr>
        <w:t xml:space="preserve"> del año 202</w:t>
      </w:r>
      <w:r w:rsidR="00EE6C70" w:rsidRPr="00EE6C70">
        <w:rPr>
          <w:rFonts w:ascii="gobCL" w:hAnsi="gobCL"/>
          <w:sz w:val="22"/>
          <w:szCs w:val="22"/>
        </w:rPr>
        <w:t>4</w:t>
      </w:r>
      <w:r w:rsidRPr="00EE6C70">
        <w:rPr>
          <w:rFonts w:ascii="gobCL" w:hAnsi="gobCL"/>
          <w:sz w:val="22"/>
          <w:szCs w:val="22"/>
        </w:rPr>
        <w:t>, según</w:t>
      </w:r>
      <w:r w:rsidRPr="00ED6E30">
        <w:rPr>
          <w:rFonts w:ascii="gobCL" w:hAnsi="gobCL"/>
          <w:sz w:val="22"/>
          <w:szCs w:val="22"/>
        </w:rPr>
        <w:t xml:space="preserve"> SII.</w:t>
      </w:r>
    </w:p>
    <w:p w14:paraId="1326FDC3" w14:textId="2180FF47" w:rsidR="00CE1362" w:rsidRPr="00ED6E30" w:rsidRDefault="00CD2E79" w:rsidP="003004C8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>Aproximado</w:t>
      </w:r>
      <w:r w:rsidRPr="00ED6E30">
        <w:rPr>
          <w:rFonts w:ascii="gobCL" w:hAnsi="gobCL"/>
          <w:sz w:val="22"/>
          <w:szCs w:val="22"/>
          <w:lang w:val="es-CL"/>
        </w:rPr>
        <w:t xml:space="preserve"> al segundo decimal </w:t>
      </w:r>
      <w:proofErr w:type="gramStart"/>
      <w:r w:rsidRPr="00ED6E30">
        <w:rPr>
          <w:rFonts w:ascii="gobCL" w:hAnsi="gobCL"/>
          <w:sz w:val="22"/>
          <w:szCs w:val="22"/>
          <w:lang w:val="es-CL"/>
        </w:rPr>
        <w:t>de acuerdo a</w:t>
      </w:r>
      <w:proofErr w:type="gramEnd"/>
      <w:r w:rsidRPr="00ED6E30">
        <w:rPr>
          <w:rFonts w:ascii="gobCL" w:hAnsi="gobCL"/>
          <w:sz w:val="22"/>
          <w:szCs w:val="22"/>
          <w:lang w:val="es-CL"/>
        </w:rPr>
        <w:t xml:space="preserve"> Ley del Redondeo, Ley 20.956</w:t>
      </w:r>
      <w:r w:rsidR="00CE1362" w:rsidRPr="00ED6E30">
        <w:rPr>
          <w:rFonts w:ascii="gobCL" w:hAnsi="gobCL"/>
          <w:sz w:val="22"/>
          <w:szCs w:val="22"/>
          <w:lang w:val="es-CL"/>
        </w:rPr>
        <w:t>.</w:t>
      </w:r>
    </w:p>
    <w:p w14:paraId="2E618096" w14:textId="08936647" w:rsidR="00657E31" w:rsidRDefault="00657E31" w:rsidP="003F6874">
      <w:pPr>
        <w:pStyle w:val="Textoindependiente"/>
        <w:rPr>
          <w:rFonts w:ascii="gobCL" w:hAnsi="gobCL"/>
          <w:bCs/>
          <w:sz w:val="22"/>
          <w:szCs w:val="22"/>
        </w:rPr>
      </w:pPr>
    </w:p>
    <w:p w14:paraId="724C7CFB" w14:textId="515DCF38" w:rsidR="00316856" w:rsidRPr="00C13AE0" w:rsidRDefault="00316856" w:rsidP="00316856">
      <w:pPr>
        <w:pStyle w:val="Textoindependiente"/>
        <w:numPr>
          <w:ilvl w:val="0"/>
          <w:numId w:val="49"/>
        </w:numPr>
        <w:rPr>
          <w:rFonts w:ascii="gobCL" w:hAnsi="gobCL"/>
          <w:b/>
          <w:bCs/>
          <w:sz w:val="22"/>
          <w:szCs w:val="22"/>
        </w:rPr>
      </w:pPr>
      <w:r w:rsidRPr="00C13AE0">
        <w:rPr>
          <w:rFonts w:ascii="gobCL" w:hAnsi="gobCL"/>
          <w:b/>
          <w:bCs/>
          <w:sz w:val="22"/>
          <w:szCs w:val="22"/>
        </w:rPr>
        <w:t xml:space="preserve">Langostino </w:t>
      </w:r>
      <w:r>
        <w:rPr>
          <w:rFonts w:ascii="gobCL" w:hAnsi="gobCL"/>
          <w:b/>
          <w:bCs/>
          <w:sz w:val="22"/>
          <w:szCs w:val="22"/>
        </w:rPr>
        <w:t>colorado</w:t>
      </w:r>
      <w:r w:rsidRPr="00C13AE0">
        <w:rPr>
          <w:rFonts w:ascii="gobCL" w:hAnsi="gobCL"/>
          <w:b/>
          <w:bCs/>
          <w:sz w:val="22"/>
          <w:szCs w:val="22"/>
        </w:rPr>
        <w:t xml:space="preserve"> unidad de pesquería </w:t>
      </w:r>
      <w:r>
        <w:rPr>
          <w:rFonts w:ascii="gobCL" w:hAnsi="gobCL"/>
          <w:b/>
          <w:bCs/>
          <w:sz w:val="22"/>
          <w:szCs w:val="22"/>
        </w:rPr>
        <w:t>Arica y Parinacota</w:t>
      </w:r>
      <w:r w:rsidRPr="00C13AE0">
        <w:rPr>
          <w:rFonts w:ascii="gobCL" w:hAnsi="gobCL"/>
          <w:b/>
          <w:bCs/>
          <w:sz w:val="22"/>
          <w:szCs w:val="22"/>
        </w:rPr>
        <w:t>-Coquimbo</w:t>
      </w:r>
    </w:p>
    <w:p w14:paraId="7B63A82F" w14:textId="77777777" w:rsidR="00316856" w:rsidRPr="00ED6E30" w:rsidRDefault="00316856" w:rsidP="00316856">
      <w:pPr>
        <w:pStyle w:val="Textoindependiente"/>
        <w:rPr>
          <w:rFonts w:ascii="gobCL" w:hAnsi="gobCL"/>
          <w:bCs/>
          <w:sz w:val="22"/>
          <w:szCs w:val="22"/>
        </w:rPr>
      </w:pPr>
    </w:p>
    <w:p w14:paraId="39380EC8" w14:textId="174918B1" w:rsidR="00316856" w:rsidRPr="00ED6E30" w:rsidRDefault="00316856" w:rsidP="00316856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En base a la cuota industrial de la pesquería de </w:t>
      </w:r>
      <w:r>
        <w:rPr>
          <w:rFonts w:ascii="gobCL" w:hAnsi="gobCL"/>
          <w:bCs/>
          <w:sz w:val="22"/>
          <w:szCs w:val="22"/>
        </w:rPr>
        <w:t>langostino colorado</w:t>
      </w:r>
      <w:r w:rsidRPr="00ED6E30">
        <w:rPr>
          <w:rFonts w:ascii="gobCL" w:hAnsi="gobCL"/>
          <w:bCs/>
          <w:sz w:val="22"/>
          <w:szCs w:val="22"/>
        </w:rPr>
        <w:t xml:space="preserve"> se deben subastar un lote de </w:t>
      </w:r>
      <w:r>
        <w:rPr>
          <w:rFonts w:ascii="gobCL" w:hAnsi="gobCL"/>
          <w:bCs/>
          <w:sz w:val="22"/>
          <w:szCs w:val="22"/>
        </w:rPr>
        <w:t xml:space="preserve">coeficiente de participación </w:t>
      </w:r>
      <w:r w:rsidRPr="00C13AE0">
        <w:rPr>
          <w:rFonts w:ascii="gobCL" w:hAnsi="gobCL"/>
          <w:bCs/>
          <w:sz w:val="22"/>
          <w:szCs w:val="22"/>
        </w:rPr>
        <w:t>de 0,000</w:t>
      </w:r>
      <w:r w:rsidR="008E736F">
        <w:rPr>
          <w:rFonts w:ascii="gobCL" w:hAnsi="gobCL"/>
          <w:bCs/>
          <w:sz w:val="22"/>
          <w:szCs w:val="22"/>
        </w:rPr>
        <w:t>47</w:t>
      </w:r>
      <w:r w:rsidRPr="00C13AE0">
        <w:rPr>
          <w:rFonts w:ascii="gobCL" w:hAnsi="gobCL"/>
          <w:bCs/>
          <w:sz w:val="22"/>
          <w:szCs w:val="22"/>
        </w:rPr>
        <w:t>00 de la fracción industrial de la cuota global de captura</w:t>
      </w:r>
      <w:r w:rsidRPr="00ED6E30">
        <w:rPr>
          <w:rFonts w:ascii="gobCL" w:hAnsi="gobCL"/>
          <w:bCs/>
          <w:sz w:val="22"/>
          <w:szCs w:val="22"/>
        </w:rPr>
        <w:t xml:space="preserve">. </w:t>
      </w:r>
      <w:proofErr w:type="gramStart"/>
      <w:r>
        <w:rPr>
          <w:rFonts w:ascii="gobCL" w:hAnsi="gobCL"/>
          <w:bCs/>
          <w:sz w:val="22"/>
          <w:szCs w:val="22"/>
        </w:rPr>
        <w:t>E</w:t>
      </w:r>
      <w:r w:rsidRPr="00ED6E30">
        <w:rPr>
          <w:rFonts w:ascii="gobCL" w:hAnsi="gobCL"/>
          <w:bCs/>
          <w:sz w:val="22"/>
          <w:szCs w:val="22"/>
        </w:rPr>
        <w:t>l lote a subastar</w:t>
      </w:r>
      <w:proofErr w:type="gramEnd"/>
      <w:r w:rsidRPr="00ED6E30">
        <w:rPr>
          <w:rFonts w:ascii="gobCL" w:hAnsi="gobCL"/>
          <w:bCs/>
          <w:sz w:val="22"/>
          <w:szCs w:val="22"/>
        </w:rPr>
        <w:t xml:space="preserve"> y las toneladas que representa de acuerdo a la cuota del año 202</w:t>
      </w:r>
      <w:r>
        <w:rPr>
          <w:rFonts w:ascii="gobCL" w:hAnsi="gobCL"/>
          <w:bCs/>
          <w:sz w:val="22"/>
          <w:szCs w:val="22"/>
        </w:rPr>
        <w:t>5</w:t>
      </w:r>
      <w:r w:rsidRPr="00ED6E30">
        <w:rPr>
          <w:rFonts w:ascii="gobCL" w:hAnsi="gobCL"/>
          <w:bCs/>
          <w:sz w:val="22"/>
          <w:szCs w:val="22"/>
        </w:rPr>
        <w:t>, con vigencia desde 20</w:t>
      </w:r>
      <w:r>
        <w:rPr>
          <w:rFonts w:ascii="gobCL" w:hAnsi="gobCL"/>
          <w:bCs/>
          <w:sz w:val="22"/>
          <w:szCs w:val="22"/>
        </w:rPr>
        <w:t>25</w:t>
      </w:r>
      <w:r w:rsidRPr="00ED6E30">
        <w:rPr>
          <w:rFonts w:ascii="gobCL" w:hAnsi="gobCL"/>
          <w:bCs/>
          <w:sz w:val="22"/>
          <w:szCs w:val="22"/>
        </w:rPr>
        <w:t xml:space="preserve"> hasta 203</w:t>
      </w:r>
      <w:r>
        <w:rPr>
          <w:rFonts w:ascii="gobCL" w:hAnsi="gobCL"/>
          <w:bCs/>
          <w:sz w:val="22"/>
          <w:szCs w:val="22"/>
        </w:rPr>
        <w:t>2</w:t>
      </w:r>
      <w:r w:rsidRPr="00ED6E30">
        <w:rPr>
          <w:rFonts w:ascii="gobCL" w:hAnsi="gobCL"/>
          <w:bCs/>
          <w:sz w:val="22"/>
          <w:szCs w:val="22"/>
        </w:rPr>
        <w:t xml:space="preserve"> (</w:t>
      </w:r>
      <w:r>
        <w:rPr>
          <w:rFonts w:ascii="gobCL" w:hAnsi="gobCL"/>
          <w:bCs/>
          <w:sz w:val="22"/>
          <w:szCs w:val="22"/>
        </w:rPr>
        <w:t>8</w:t>
      </w:r>
      <w:r w:rsidRPr="00ED6E30">
        <w:rPr>
          <w:rFonts w:ascii="gobCL" w:hAnsi="gobCL"/>
          <w:bCs/>
          <w:sz w:val="22"/>
          <w:szCs w:val="22"/>
        </w:rPr>
        <w:t xml:space="preserve"> años), son las que se detallan en la Tabla </w:t>
      </w:r>
      <w:r w:rsidR="00D0570D">
        <w:rPr>
          <w:rFonts w:ascii="gobCL" w:hAnsi="gobCL"/>
          <w:bCs/>
          <w:sz w:val="22"/>
          <w:szCs w:val="22"/>
        </w:rPr>
        <w:t>5</w:t>
      </w:r>
      <w:r w:rsidRPr="00ED6E30">
        <w:rPr>
          <w:rFonts w:ascii="gobCL" w:hAnsi="gobCL"/>
          <w:bCs/>
          <w:sz w:val="22"/>
          <w:szCs w:val="22"/>
        </w:rPr>
        <w:t xml:space="preserve">. </w:t>
      </w:r>
    </w:p>
    <w:p w14:paraId="369BE44D" w14:textId="77777777" w:rsidR="00316856" w:rsidRPr="00ED6E30" w:rsidRDefault="00316856" w:rsidP="00316856">
      <w:pPr>
        <w:pStyle w:val="Textoindependiente"/>
        <w:rPr>
          <w:rFonts w:ascii="gobCL" w:hAnsi="gobCL"/>
          <w:bCs/>
          <w:sz w:val="22"/>
          <w:szCs w:val="22"/>
        </w:rPr>
      </w:pPr>
    </w:p>
    <w:p w14:paraId="1592290E" w14:textId="74E78F56" w:rsidR="00316856" w:rsidRPr="002D52AF" w:rsidRDefault="00316856" w:rsidP="00316856">
      <w:pPr>
        <w:pStyle w:val="Textoindependiente"/>
        <w:jc w:val="center"/>
        <w:rPr>
          <w:rFonts w:ascii="gobCL" w:hAnsi="gobCL"/>
          <w:szCs w:val="20"/>
        </w:rPr>
      </w:pPr>
      <w:r w:rsidRPr="002D52AF">
        <w:rPr>
          <w:rFonts w:ascii="gobCL" w:hAnsi="gobCL"/>
          <w:szCs w:val="20"/>
        </w:rPr>
        <w:lastRenderedPageBreak/>
        <w:t xml:space="preserve">Tabla </w:t>
      </w:r>
      <w:r w:rsidR="00D0570D">
        <w:rPr>
          <w:rFonts w:ascii="gobCL" w:hAnsi="gobCL"/>
          <w:szCs w:val="20"/>
        </w:rPr>
        <w:t>5</w:t>
      </w:r>
      <w:r w:rsidRPr="002D52AF">
        <w:rPr>
          <w:rFonts w:ascii="gobCL" w:hAnsi="gobCL"/>
          <w:szCs w:val="20"/>
        </w:rPr>
        <w:t>. Lote a subastar, precio mínimo en $/lote y UTM/lote</w:t>
      </w:r>
      <w:r w:rsidRPr="002D52AF" w:rsidDel="001261BE">
        <w:rPr>
          <w:rFonts w:ascii="gobCL" w:hAnsi="gobCL"/>
          <w:szCs w:val="20"/>
        </w:rPr>
        <w:t xml:space="preserve"> </w:t>
      </w:r>
      <w:r w:rsidRPr="002D52AF">
        <w:rPr>
          <w:rFonts w:ascii="gobCL" w:hAnsi="gobCL"/>
          <w:szCs w:val="20"/>
        </w:rPr>
        <w:t xml:space="preserve">para </w:t>
      </w:r>
      <w:r>
        <w:rPr>
          <w:rFonts w:ascii="gobCL" w:hAnsi="gobCL"/>
          <w:szCs w:val="20"/>
        </w:rPr>
        <w:t xml:space="preserve">langostino </w:t>
      </w:r>
      <w:r w:rsidR="008E736F">
        <w:rPr>
          <w:rFonts w:ascii="gobCL" w:hAnsi="gobCL"/>
          <w:szCs w:val="20"/>
        </w:rPr>
        <w:t>colorado</w:t>
      </w:r>
      <w:r w:rsidRPr="002D52AF">
        <w:rPr>
          <w:rFonts w:ascii="gobCL" w:hAnsi="gobCL"/>
          <w:szCs w:val="20"/>
        </w:rPr>
        <w:t xml:space="preserve"> </w:t>
      </w:r>
      <w:proofErr w:type="spellStart"/>
      <w:r w:rsidR="008E736F">
        <w:rPr>
          <w:rFonts w:ascii="gobCL" w:hAnsi="gobCL"/>
          <w:szCs w:val="20"/>
        </w:rPr>
        <w:t>AyP</w:t>
      </w:r>
      <w:proofErr w:type="spellEnd"/>
      <w:r w:rsidR="008E736F">
        <w:rPr>
          <w:rFonts w:ascii="gobCL" w:hAnsi="gobCL"/>
          <w:szCs w:val="20"/>
        </w:rPr>
        <w:t>-COQ</w:t>
      </w:r>
      <w:r w:rsidRPr="002D52AF">
        <w:rPr>
          <w:rFonts w:ascii="gobCL" w:hAnsi="gobCL"/>
          <w:szCs w:val="20"/>
        </w:rPr>
        <w:t>.</w:t>
      </w:r>
    </w:p>
    <w:tbl>
      <w:tblPr>
        <w:tblW w:w="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1328"/>
        <w:gridCol w:w="1639"/>
        <w:gridCol w:w="1490"/>
      </w:tblGrid>
      <w:tr w:rsidR="00316856" w:rsidRPr="00ED6E30" w14:paraId="3F64E400" w14:textId="77777777" w:rsidTr="00CB12A9">
        <w:trPr>
          <w:trHeight w:val="531"/>
          <w:jc w:val="center"/>
        </w:trPr>
        <w:tc>
          <w:tcPr>
            <w:tcW w:w="1537" w:type="dxa"/>
            <w:vAlign w:val="center"/>
          </w:tcPr>
          <w:p w14:paraId="233DB1B7" w14:textId="77777777" w:rsidR="00316856" w:rsidRPr="002D52AF" w:rsidRDefault="00316856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10D772BB" w14:textId="77777777" w:rsidR="00316856" w:rsidRPr="002D52AF" w:rsidRDefault="00316856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Tamaño lote (t)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4591AB8" w14:textId="77777777" w:rsidR="00316856" w:rsidRPr="002D52AF" w:rsidRDefault="00316856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Precio Mínimo en $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5962D3D1" w14:textId="77777777" w:rsidR="00316856" w:rsidRPr="002D52AF" w:rsidRDefault="00316856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Precio Mínimo en UTM</w:t>
            </w:r>
          </w:p>
        </w:tc>
      </w:tr>
      <w:tr w:rsidR="00316856" w:rsidRPr="00ED6E30" w14:paraId="299320F1" w14:textId="77777777" w:rsidTr="00CB12A9">
        <w:trPr>
          <w:trHeight w:val="315"/>
          <w:jc w:val="center"/>
        </w:trPr>
        <w:tc>
          <w:tcPr>
            <w:tcW w:w="1537" w:type="dxa"/>
            <w:vAlign w:val="center"/>
          </w:tcPr>
          <w:p w14:paraId="1C8B9D22" w14:textId="13B3016A" w:rsidR="00316856" w:rsidRPr="002D52AF" w:rsidRDefault="00316856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0,000</w:t>
            </w:r>
            <w:r w:rsidR="008E736F">
              <w:rPr>
                <w:rFonts w:ascii="gobCL" w:hAnsi="gobCL"/>
                <w:color w:val="000000"/>
                <w:sz w:val="20"/>
                <w:szCs w:val="20"/>
              </w:rPr>
              <w:t>47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317DF9E" w14:textId="6BBC6337" w:rsidR="00316856" w:rsidRPr="00462824" w:rsidRDefault="00462824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bookmarkStart w:id="2" w:name="_Hlk181785076"/>
            <w:r w:rsidRPr="00462824">
              <w:rPr>
                <w:rFonts w:ascii="gobCL" w:hAnsi="gobCL"/>
                <w:color w:val="000000"/>
                <w:sz w:val="20"/>
                <w:szCs w:val="20"/>
              </w:rPr>
              <w:t>0,191</w:t>
            </w:r>
            <w:bookmarkEnd w:id="2"/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35EA8811" w14:textId="2C1CE256" w:rsidR="00316856" w:rsidRPr="00462824" w:rsidRDefault="004571B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4571B3">
              <w:rPr>
                <w:rFonts w:ascii="gobCL" w:hAnsi="gobCL"/>
                <w:color w:val="000000"/>
                <w:sz w:val="20"/>
                <w:szCs w:val="20"/>
              </w:rPr>
              <w:t>22.128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0172BB96" w14:textId="587F8BD2" w:rsidR="00316856" w:rsidRPr="00462824" w:rsidRDefault="00462824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0,332</w:t>
            </w:r>
          </w:p>
        </w:tc>
      </w:tr>
    </w:tbl>
    <w:p w14:paraId="0C6380EA" w14:textId="77777777" w:rsidR="00316856" w:rsidRPr="00ED6E30" w:rsidRDefault="00316856" w:rsidP="00316856">
      <w:pPr>
        <w:pStyle w:val="Textoindependiente"/>
        <w:rPr>
          <w:rFonts w:ascii="gobCL" w:hAnsi="gobCL"/>
          <w:bCs/>
          <w:sz w:val="22"/>
          <w:szCs w:val="22"/>
        </w:rPr>
      </w:pPr>
    </w:p>
    <w:p w14:paraId="60555B4C" w14:textId="77777777" w:rsidR="00316856" w:rsidRPr="00ED6E30" w:rsidRDefault="00316856" w:rsidP="00316856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Además, se calculó el precio mínimo de la oferta del recurso </w:t>
      </w:r>
      <w:r>
        <w:rPr>
          <w:rFonts w:ascii="gobCL" w:hAnsi="gobCL"/>
          <w:bCs/>
          <w:sz w:val="22"/>
          <w:szCs w:val="22"/>
        </w:rPr>
        <w:t>langostino amarillo</w:t>
      </w:r>
      <w:r w:rsidRPr="00ED6E30">
        <w:rPr>
          <w:rFonts w:ascii="gobCL" w:hAnsi="gobCL"/>
          <w:bCs/>
          <w:sz w:val="22"/>
          <w:szCs w:val="22"/>
        </w:rPr>
        <w:t xml:space="preserve"> de la siguiente manera: </w:t>
      </w:r>
    </w:p>
    <w:p w14:paraId="459C6357" w14:textId="07565938" w:rsidR="00316856" w:rsidRPr="00ED6E30" w:rsidRDefault="00316856" w:rsidP="00316856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Precio mínimo = (Toneladas a subastar) * (VS </w:t>
      </w:r>
      <w:proofErr w:type="spellStart"/>
      <w:proofErr w:type="gramStart"/>
      <w:r>
        <w:rPr>
          <w:rFonts w:ascii="gobCL" w:hAnsi="gobCL"/>
          <w:bCs/>
          <w:sz w:val="22"/>
          <w:szCs w:val="22"/>
          <w:vertAlign w:val="subscript"/>
        </w:rPr>
        <w:t>l.</w:t>
      </w:r>
      <w:r w:rsidR="008E736F">
        <w:rPr>
          <w:rFonts w:ascii="gobCL" w:hAnsi="gobCL"/>
          <w:bCs/>
          <w:sz w:val="22"/>
          <w:szCs w:val="22"/>
          <w:vertAlign w:val="subscript"/>
        </w:rPr>
        <w:t>colorado</w:t>
      </w:r>
      <w:proofErr w:type="spellEnd"/>
      <w:proofErr w:type="gramEnd"/>
      <w:r w:rsidRPr="00ED6E30">
        <w:rPr>
          <w:rFonts w:ascii="gobCL" w:hAnsi="gobCL"/>
          <w:bCs/>
          <w:sz w:val="22"/>
          <w:szCs w:val="22"/>
        </w:rPr>
        <w:t xml:space="preserve">) * (UTM) * 4,2% </w:t>
      </w:r>
    </w:p>
    <w:p w14:paraId="1B9BD1FB" w14:textId="77777777" w:rsidR="00316856" w:rsidRPr="00ED6E30" w:rsidRDefault="00316856" w:rsidP="00316856">
      <w:pPr>
        <w:pStyle w:val="Textoindependiente"/>
        <w:rPr>
          <w:rFonts w:ascii="gobCL" w:hAnsi="gobCL"/>
          <w:bCs/>
          <w:sz w:val="22"/>
          <w:szCs w:val="22"/>
        </w:rPr>
      </w:pPr>
    </w:p>
    <w:p w14:paraId="43D347B3" w14:textId="17A98466" w:rsidR="00316856" w:rsidRPr="00ED6E30" w:rsidRDefault="00316856" w:rsidP="00316856">
      <w:pPr>
        <w:pStyle w:val="Textonotapie"/>
        <w:numPr>
          <w:ilvl w:val="0"/>
          <w:numId w:val="41"/>
        </w:numPr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  <w:lang w:val="es-CL"/>
        </w:rPr>
        <w:t xml:space="preserve">Las toneladas por subastar corresponden a un lote de </w:t>
      </w:r>
      <w:r>
        <w:rPr>
          <w:rFonts w:ascii="gobCL" w:hAnsi="gobCL"/>
          <w:sz w:val="22"/>
          <w:szCs w:val="22"/>
          <w:lang w:val="es-CL"/>
        </w:rPr>
        <w:t xml:space="preserve">coeficiente de participación de </w:t>
      </w:r>
      <w:r w:rsidRPr="001B55E3">
        <w:rPr>
          <w:rFonts w:ascii="gobCL" w:hAnsi="gobCL"/>
          <w:sz w:val="22"/>
          <w:szCs w:val="22"/>
          <w:lang w:val="es-CL"/>
        </w:rPr>
        <w:t>0,00</w:t>
      </w:r>
      <w:r w:rsidR="008E736F">
        <w:rPr>
          <w:rFonts w:ascii="gobCL" w:hAnsi="gobCL"/>
          <w:sz w:val="22"/>
          <w:szCs w:val="22"/>
          <w:lang w:val="es-CL"/>
        </w:rPr>
        <w:t>47</w:t>
      </w:r>
      <w:r w:rsidRPr="001B55E3">
        <w:rPr>
          <w:rFonts w:ascii="gobCL" w:hAnsi="gobCL"/>
          <w:sz w:val="22"/>
          <w:szCs w:val="22"/>
          <w:lang w:val="es-CL"/>
        </w:rPr>
        <w:t xml:space="preserve">00 de </w:t>
      </w:r>
      <w:r w:rsidR="004571B3" w:rsidRPr="004571B3">
        <w:rPr>
          <w:rFonts w:ascii="gobCL" w:hAnsi="gobCL"/>
          <w:sz w:val="22"/>
          <w:szCs w:val="22"/>
          <w:lang w:val="es-CL"/>
        </w:rPr>
        <w:t>0,191</w:t>
      </w:r>
      <w:r w:rsidR="004571B3">
        <w:rPr>
          <w:rFonts w:ascii="gobCL" w:hAnsi="gobCL"/>
          <w:sz w:val="22"/>
          <w:szCs w:val="22"/>
          <w:lang w:val="es-CL"/>
        </w:rPr>
        <w:t xml:space="preserve"> </w:t>
      </w:r>
      <w:r w:rsidRPr="00F02349">
        <w:rPr>
          <w:rFonts w:ascii="gobCL" w:hAnsi="gobCL"/>
          <w:sz w:val="22"/>
          <w:szCs w:val="22"/>
          <w:lang w:val="es-CL"/>
        </w:rPr>
        <w:t>toneladas</w:t>
      </w:r>
      <w:r>
        <w:rPr>
          <w:rFonts w:ascii="gobCL" w:hAnsi="gobCL"/>
          <w:sz w:val="22"/>
          <w:szCs w:val="22"/>
          <w:lang w:val="es-CL"/>
        </w:rPr>
        <w:t>.</w:t>
      </w:r>
    </w:p>
    <w:p w14:paraId="1B727CBD" w14:textId="021517F1" w:rsidR="00316856" w:rsidRPr="00ED6E30" w:rsidRDefault="00316856" w:rsidP="00316856">
      <w:pPr>
        <w:pStyle w:val="Textonotapie"/>
        <w:numPr>
          <w:ilvl w:val="0"/>
          <w:numId w:val="41"/>
        </w:numPr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 xml:space="preserve">Valor sanción fijado en D. Ex. </w:t>
      </w:r>
      <w:proofErr w:type="spellStart"/>
      <w:r w:rsidRPr="00ED6E30">
        <w:rPr>
          <w:rFonts w:ascii="gobCL" w:hAnsi="gobCL"/>
          <w:sz w:val="22"/>
          <w:szCs w:val="22"/>
        </w:rPr>
        <w:t>Nº</w:t>
      </w:r>
      <w:proofErr w:type="spellEnd"/>
      <w:r w:rsidRPr="00ED6E30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>147</w:t>
      </w:r>
      <w:r w:rsidRPr="00ED6E30">
        <w:rPr>
          <w:rFonts w:ascii="gobCL" w:hAnsi="gobCL"/>
          <w:sz w:val="22"/>
          <w:szCs w:val="22"/>
        </w:rPr>
        <w:t>/202</w:t>
      </w:r>
      <w:r>
        <w:rPr>
          <w:rFonts w:ascii="gobCL" w:hAnsi="gobCL"/>
          <w:sz w:val="22"/>
          <w:szCs w:val="22"/>
        </w:rPr>
        <w:t>3</w:t>
      </w:r>
      <w:r w:rsidRPr="00ED6E30">
        <w:rPr>
          <w:rFonts w:ascii="gobCL" w:hAnsi="gobCL"/>
          <w:sz w:val="22"/>
          <w:szCs w:val="22"/>
        </w:rPr>
        <w:t xml:space="preserve"> para </w:t>
      </w:r>
      <w:r>
        <w:rPr>
          <w:rFonts w:ascii="gobCL" w:hAnsi="gobCL"/>
          <w:sz w:val="22"/>
          <w:szCs w:val="22"/>
        </w:rPr>
        <w:t>langostino amarillo</w:t>
      </w:r>
      <w:r w:rsidRPr="00ED6E30">
        <w:rPr>
          <w:rFonts w:ascii="gobCL" w:hAnsi="gobCL"/>
          <w:sz w:val="22"/>
          <w:szCs w:val="22"/>
        </w:rPr>
        <w:t xml:space="preserve"> es de </w:t>
      </w:r>
      <w:r>
        <w:rPr>
          <w:rFonts w:ascii="gobCL" w:hAnsi="gobCL"/>
          <w:sz w:val="22"/>
          <w:szCs w:val="22"/>
        </w:rPr>
        <w:t>4</w:t>
      </w:r>
      <w:r w:rsidR="008E736F">
        <w:rPr>
          <w:rFonts w:ascii="gobCL" w:hAnsi="gobCL"/>
          <w:sz w:val="22"/>
          <w:szCs w:val="22"/>
        </w:rPr>
        <w:t>1</w:t>
      </w:r>
      <w:r w:rsidRPr="00ED6E30">
        <w:rPr>
          <w:rFonts w:ascii="gobCL" w:hAnsi="gobCL"/>
          <w:sz w:val="22"/>
          <w:szCs w:val="22"/>
        </w:rPr>
        <w:t>,</w:t>
      </w:r>
      <w:r w:rsidR="008E736F">
        <w:rPr>
          <w:rFonts w:ascii="gobCL" w:hAnsi="gobCL"/>
          <w:sz w:val="22"/>
          <w:szCs w:val="22"/>
        </w:rPr>
        <w:t>4</w:t>
      </w:r>
      <w:r w:rsidRPr="00ED6E30">
        <w:rPr>
          <w:rFonts w:ascii="gobCL" w:hAnsi="gobCL"/>
          <w:sz w:val="22"/>
          <w:szCs w:val="22"/>
        </w:rPr>
        <w:t xml:space="preserve"> UTM/t, considerando el valor de UTM = </w:t>
      </w:r>
      <w:r w:rsidRPr="00F02349">
        <w:rPr>
          <w:rFonts w:ascii="gobCL" w:hAnsi="gobCL"/>
          <w:sz w:val="22"/>
          <w:szCs w:val="22"/>
        </w:rPr>
        <w:t>$</w:t>
      </w:r>
      <w:r w:rsidR="00F02349" w:rsidRPr="00F02349">
        <w:rPr>
          <w:rFonts w:ascii="gobCL" w:hAnsi="gobCL"/>
          <w:sz w:val="22"/>
          <w:szCs w:val="22"/>
        </w:rPr>
        <w:t>66.628</w:t>
      </w:r>
      <w:r w:rsidRPr="00F02349">
        <w:rPr>
          <w:rFonts w:ascii="gobCL" w:hAnsi="gobCL"/>
          <w:sz w:val="22"/>
          <w:szCs w:val="22"/>
        </w:rPr>
        <w:t xml:space="preserve"> del mes de </w:t>
      </w:r>
      <w:r w:rsidR="00F02349" w:rsidRPr="00F02349">
        <w:rPr>
          <w:rFonts w:ascii="gobCL" w:hAnsi="gobCL"/>
          <w:sz w:val="22"/>
          <w:szCs w:val="22"/>
        </w:rPr>
        <w:t>noviembre</w:t>
      </w:r>
      <w:r w:rsidRPr="00F02349">
        <w:rPr>
          <w:rFonts w:ascii="gobCL" w:hAnsi="gobCL"/>
          <w:sz w:val="22"/>
          <w:szCs w:val="22"/>
        </w:rPr>
        <w:t xml:space="preserve"> del año 202</w:t>
      </w:r>
      <w:r w:rsidR="00F02349" w:rsidRPr="00F02349">
        <w:rPr>
          <w:rFonts w:ascii="gobCL" w:hAnsi="gobCL"/>
          <w:sz w:val="22"/>
          <w:szCs w:val="22"/>
        </w:rPr>
        <w:t>4</w:t>
      </w:r>
      <w:r w:rsidRPr="00F02349">
        <w:rPr>
          <w:rFonts w:ascii="gobCL" w:hAnsi="gobCL"/>
          <w:sz w:val="22"/>
          <w:szCs w:val="22"/>
        </w:rPr>
        <w:t>,</w:t>
      </w:r>
      <w:r w:rsidRPr="00ED6E30">
        <w:rPr>
          <w:rFonts w:ascii="gobCL" w:hAnsi="gobCL"/>
          <w:sz w:val="22"/>
          <w:szCs w:val="22"/>
        </w:rPr>
        <w:t xml:space="preserve"> según SII.</w:t>
      </w:r>
    </w:p>
    <w:p w14:paraId="122828EB" w14:textId="77777777" w:rsidR="00316856" w:rsidRPr="00ED6E30" w:rsidRDefault="00316856" w:rsidP="00316856">
      <w:pPr>
        <w:pStyle w:val="Textonotapie"/>
        <w:numPr>
          <w:ilvl w:val="0"/>
          <w:numId w:val="41"/>
        </w:numPr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>Aproximado</w:t>
      </w:r>
      <w:r w:rsidRPr="00ED6E30">
        <w:rPr>
          <w:rFonts w:ascii="gobCL" w:hAnsi="gobCL"/>
          <w:sz w:val="22"/>
          <w:szCs w:val="22"/>
          <w:lang w:val="es-CL"/>
        </w:rPr>
        <w:t xml:space="preserve"> al segundo decimal </w:t>
      </w:r>
      <w:proofErr w:type="gramStart"/>
      <w:r w:rsidRPr="00ED6E30">
        <w:rPr>
          <w:rFonts w:ascii="gobCL" w:hAnsi="gobCL"/>
          <w:sz w:val="22"/>
          <w:szCs w:val="22"/>
          <w:lang w:val="es-CL"/>
        </w:rPr>
        <w:t>de acuerdo a</w:t>
      </w:r>
      <w:proofErr w:type="gramEnd"/>
      <w:r w:rsidRPr="00ED6E30">
        <w:rPr>
          <w:rFonts w:ascii="gobCL" w:hAnsi="gobCL"/>
          <w:sz w:val="22"/>
          <w:szCs w:val="22"/>
          <w:lang w:val="es-CL"/>
        </w:rPr>
        <w:t xml:space="preserve"> Ley del Redondeo, Ley 20.956.</w:t>
      </w:r>
    </w:p>
    <w:p w14:paraId="19C77468" w14:textId="13C97F9E" w:rsidR="00C33EC4" w:rsidRDefault="00C33EC4" w:rsidP="003F6874">
      <w:pPr>
        <w:pStyle w:val="Textoindependiente"/>
        <w:rPr>
          <w:rFonts w:ascii="gobCL" w:hAnsi="gobCL"/>
          <w:bCs/>
          <w:sz w:val="22"/>
          <w:szCs w:val="22"/>
        </w:rPr>
      </w:pPr>
    </w:p>
    <w:p w14:paraId="3B94EC90" w14:textId="77777777" w:rsidR="00B86BCD" w:rsidRDefault="00B86BCD" w:rsidP="003F6874">
      <w:pPr>
        <w:pStyle w:val="Textoindependiente"/>
        <w:rPr>
          <w:rFonts w:ascii="gobCL" w:hAnsi="gobCL"/>
          <w:bCs/>
          <w:sz w:val="22"/>
          <w:szCs w:val="22"/>
        </w:rPr>
      </w:pPr>
    </w:p>
    <w:p w14:paraId="691E3D7C" w14:textId="35BCE985" w:rsidR="00B86BCD" w:rsidRPr="00C13AE0" w:rsidRDefault="00B86BCD" w:rsidP="00B86BCD">
      <w:pPr>
        <w:pStyle w:val="Textoindependiente"/>
        <w:numPr>
          <w:ilvl w:val="0"/>
          <w:numId w:val="49"/>
        </w:numPr>
        <w:rPr>
          <w:rFonts w:ascii="gobCL" w:hAnsi="gobCL"/>
          <w:b/>
          <w:bCs/>
          <w:sz w:val="22"/>
          <w:szCs w:val="22"/>
        </w:rPr>
      </w:pPr>
      <w:r>
        <w:rPr>
          <w:rFonts w:ascii="gobCL" w:hAnsi="gobCL"/>
          <w:b/>
          <w:bCs/>
          <w:sz w:val="22"/>
          <w:szCs w:val="22"/>
        </w:rPr>
        <w:t>Merluza común</w:t>
      </w:r>
      <w:r w:rsidRPr="00C13AE0">
        <w:rPr>
          <w:rFonts w:ascii="gobCL" w:hAnsi="gobCL"/>
          <w:b/>
          <w:bCs/>
          <w:sz w:val="22"/>
          <w:szCs w:val="22"/>
        </w:rPr>
        <w:t xml:space="preserve"> unidad de pesquería Coquimbo</w:t>
      </w:r>
      <w:r>
        <w:rPr>
          <w:rFonts w:ascii="gobCL" w:hAnsi="gobCL"/>
          <w:b/>
          <w:bCs/>
          <w:sz w:val="22"/>
          <w:szCs w:val="22"/>
        </w:rPr>
        <w:t xml:space="preserve"> al paralelo </w:t>
      </w:r>
      <w:r w:rsidRPr="00B86BCD">
        <w:rPr>
          <w:rFonts w:ascii="gobCL" w:hAnsi="gobCL"/>
          <w:b/>
          <w:bCs/>
          <w:sz w:val="22"/>
          <w:szCs w:val="22"/>
        </w:rPr>
        <w:t>41°28,6’L.S</w:t>
      </w:r>
      <w:r>
        <w:rPr>
          <w:rFonts w:ascii="gobCL" w:hAnsi="gobCL"/>
          <w:b/>
          <w:bCs/>
          <w:sz w:val="22"/>
          <w:szCs w:val="22"/>
        </w:rPr>
        <w:t>.</w:t>
      </w:r>
    </w:p>
    <w:p w14:paraId="4829BB1A" w14:textId="77777777" w:rsidR="00B86BCD" w:rsidRPr="00ED6E30" w:rsidRDefault="00B86BCD" w:rsidP="00B86BCD">
      <w:pPr>
        <w:pStyle w:val="Textoindependiente"/>
        <w:rPr>
          <w:rFonts w:ascii="gobCL" w:hAnsi="gobCL"/>
          <w:bCs/>
          <w:sz w:val="22"/>
          <w:szCs w:val="22"/>
        </w:rPr>
      </w:pPr>
    </w:p>
    <w:p w14:paraId="03FBB45C" w14:textId="3AEFE148" w:rsidR="00B86BCD" w:rsidRPr="00ED6E30" w:rsidRDefault="00B86BCD" w:rsidP="00B86BCD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En base a la cuota industrial de la pesquería de </w:t>
      </w:r>
      <w:r>
        <w:rPr>
          <w:rFonts w:ascii="gobCL" w:hAnsi="gobCL"/>
          <w:bCs/>
          <w:sz w:val="22"/>
          <w:szCs w:val="22"/>
        </w:rPr>
        <w:t>merluza común</w:t>
      </w:r>
      <w:r w:rsidRPr="00ED6E30">
        <w:rPr>
          <w:rFonts w:ascii="gobCL" w:hAnsi="gobCL"/>
          <w:bCs/>
          <w:sz w:val="22"/>
          <w:szCs w:val="22"/>
        </w:rPr>
        <w:t xml:space="preserve"> se deben subastar un lote de </w:t>
      </w:r>
      <w:r>
        <w:rPr>
          <w:rFonts w:ascii="gobCL" w:hAnsi="gobCL"/>
          <w:bCs/>
          <w:sz w:val="22"/>
          <w:szCs w:val="22"/>
        </w:rPr>
        <w:t xml:space="preserve">coeficiente de participación </w:t>
      </w:r>
      <w:r w:rsidRPr="00C13AE0">
        <w:rPr>
          <w:rFonts w:ascii="gobCL" w:hAnsi="gobCL"/>
          <w:bCs/>
          <w:sz w:val="22"/>
          <w:szCs w:val="22"/>
        </w:rPr>
        <w:t xml:space="preserve">de </w:t>
      </w:r>
      <w:r w:rsidR="004571B3" w:rsidRPr="004571B3">
        <w:rPr>
          <w:rFonts w:ascii="gobCL" w:hAnsi="gobCL"/>
          <w:bCs/>
          <w:sz w:val="22"/>
          <w:szCs w:val="22"/>
        </w:rPr>
        <w:t>0,0000179</w:t>
      </w:r>
      <w:r w:rsidR="004571B3">
        <w:rPr>
          <w:rFonts w:ascii="gobCL" w:hAnsi="gobCL"/>
          <w:bCs/>
          <w:sz w:val="22"/>
          <w:szCs w:val="22"/>
        </w:rPr>
        <w:t xml:space="preserve"> </w:t>
      </w:r>
      <w:r w:rsidRPr="00C13AE0">
        <w:rPr>
          <w:rFonts w:ascii="gobCL" w:hAnsi="gobCL"/>
          <w:bCs/>
          <w:sz w:val="22"/>
          <w:szCs w:val="22"/>
        </w:rPr>
        <w:t>de la fracción industrial de la cuota global de captura</w:t>
      </w:r>
      <w:r w:rsidRPr="00ED6E30">
        <w:rPr>
          <w:rFonts w:ascii="gobCL" w:hAnsi="gobCL"/>
          <w:bCs/>
          <w:sz w:val="22"/>
          <w:szCs w:val="22"/>
        </w:rPr>
        <w:t xml:space="preserve">. </w:t>
      </w:r>
      <w:proofErr w:type="gramStart"/>
      <w:r>
        <w:rPr>
          <w:rFonts w:ascii="gobCL" w:hAnsi="gobCL"/>
          <w:bCs/>
          <w:sz w:val="22"/>
          <w:szCs w:val="22"/>
        </w:rPr>
        <w:t>E</w:t>
      </w:r>
      <w:r w:rsidRPr="00ED6E30">
        <w:rPr>
          <w:rFonts w:ascii="gobCL" w:hAnsi="gobCL"/>
          <w:bCs/>
          <w:sz w:val="22"/>
          <w:szCs w:val="22"/>
        </w:rPr>
        <w:t>l lote a subastar</w:t>
      </w:r>
      <w:proofErr w:type="gramEnd"/>
      <w:r w:rsidRPr="00ED6E30">
        <w:rPr>
          <w:rFonts w:ascii="gobCL" w:hAnsi="gobCL"/>
          <w:bCs/>
          <w:sz w:val="22"/>
          <w:szCs w:val="22"/>
        </w:rPr>
        <w:t xml:space="preserve"> y las toneladas que representa de acuerdo a la cuota del año 202</w:t>
      </w:r>
      <w:r>
        <w:rPr>
          <w:rFonts w:ascii="gobCL" w:hAnsi="gobCL"/>
          <w:bCs/>
          <w:sz w:val="22"/>
          <w:szCs w:val="22"/>
        </w:rPr>
        <w:t>5</w:t>
      </w:r>
      <w:r w:rsidRPr="00ED6E30">
        <w:rPr>
          <w:rFonts w:ascii="gobCL" w:hAnsi="gobCL"/>
          <w:bCs/>
          <w:sz w:val="22"/>
          <w:szCs w:val="22"/>
        </w:rPr>
        <w:t>, con vigencia desde 20</w:t>
      </w:r>
      <w:r>
        <w:rPr>
          <w:rFonts w:ascii="gobCL" w:hAnsi="gobCL"/>
          <w:bCs/>
          <w:sz w:val="22"/>
          <w:szCs w:val="22"/>
        </w:rPr>
        <w:t>25</w:t>
      </w:r>
      <w:r w:rsidRPr="00ED6E30">
        <w:rPr>
          <w:rFonts w:ascii="gobCL" w:hAnsi="gobCL"/>
          <w:bCs/>
          <w:sz w:val="22"/>
          <w:szCs w:val="22"/>
        </w:rPr>
        <w:t xml:space="preserve"> hasta 203</w:t>
      </w:r>
      <w:r>
        <w:rPr>
          <w:rFonts w:ascii="gobCL" w:hAnsi="gobCL"/>
          <w:bCs/>
          <w:sz w:val="22"/>
          <w:szCs w:val="22"/>
        </w:rPr>
        <w:t>2</w:t>
      </w:r>
      <w:r w:rsidRPr="00ED6E30">
        <w:rPr>
          <w:rFonts w:ascii="gobCL" w:hAnsi="gobCL"/>
          <w:bCs/>
          <w:sz w:val="22"/>
          <w:szCs w:val="22"/>
        </w:rPr>
        <w:t xml:space="preserve"> (</w:t>
      </w:r>
      <w:r>
        <w:rPr>
          <w:rFonts w:ascii="gobCL" w:hAnsi="gobCL"/>
          <w:bCs/>
          <w:sz w:val="22"/>
          <w:szCs w:val="22"/>
        </w:rPr>
        <w:t>8</w:t>
      </w:r>
      <w:r w:rsidRPr="00ED6E30">
        <w:rPr>
          <w:rFonts w:ascii="gobCL" w:hAnsi="gobCL"/>
          <w:bCs/>
          <w:sz w:val="22"/>
          <w:szCs w:val="22"/>
        </w:rPr>
        <w:t xml:space="preserve"> años), son las que se detallan en la Tabla </w:t>
      </w:r>
      <w:r w:rsidR="00D0570D">
        <w:rPr>
          <w:rFonts w:ascii="gobCL" w:hAnsi="gobCL"/>
          <w:bCs/>
          <w:sz w:val="22"/>
          <w:szCs w:val="22"/>
        </w:rPr>
        <w:t>6</w:t>
      </w:r>
      <w:r w:rsidRPr="00ED6E30">
        <w:rPr>
          <w:rFonts w:ascii="gobCL" w:hAnsi="gobCL"/>
          <w:bCs/>
          <w:sz w:val="22"/>
          <w:szCs w:val="22"/>
        </w:rPr>
        <w:t xml:space="preserve">. </w:t>
      </w:r>
    </w:p>
    <w:p w14:paraId="6A42CDB7" w14:textId="77777777" w:rsidR="00B86BCD" w:rsidRPr="00ED6E30" w:rsidRDefault="00B86BCD" w:rsidP="00B86BCD">
      <w:pPr>
        <w:pStyle w:val="Textoindependiente"/>
        <w:rPr>
          <w:rFonts w:ascii="gobCL" w:hAnsi="gobCL"/>
          <w:bCs/>
          <w:sz w:val="22"/>
          <w:szCs w:val="22"/>
        </w:rPr>
      </w:pPr>
    </w:p>
    <w:p w14:paraId="1FDACA56" w14:textId="33252BAC" w:rsidR="00B86BCD" w:rsidRPr="002D52AF" w:rsidRDefault="00B86BCD" w:rsidP="00B86BCD">
      <w:pPr>
        <w:pStyle w:val="Textoindependiente"/>
        <w:jc w:val="center"/>
        <w:rPr>
          <w:rFonts w:ascii="gobCL" w:hAnsi="gobCL"/>
          <w:szCs w:val="20"/>
        </w:rPr>
      </w:pPr>
      <w:r w:rsidRPr="002D52AF">
        <w:rPr>
          <w:rFonts w:ascii="gobCL" w:hAnsi="gobCL"/>
          <w:szCs w:val="20"/>
        </w:rPr>
        <w:t xml:space="preserve">Tabla </w:t>
      </w:r>
      <w:r w:rsidR="00D0570D">
        <w:rPr>
          <w:rFonts w:ascii="gobCL" w:hAnsi="gobCL"/>
          <w:szCs w:val="20"/>
        </w:rPr>
        <w:t>6</w:t>
      </w:r>
      <w:r w:rsidRPr="002D52AF">
        <w:rPr>
          <w:rFonts w:ascii="gobCL" w:hAnsi="gobCL"/>
          <w:szCs w:val="20"/>
        </w:rPr>
        <w:t>. Lote a subastar, precio mínimo en $/lote y UTM/lote</w:t>
      </w:r>
      <w:r w:rsidRPr="002D52AF" w:rsidDel="001261BE">
        <w:rPr>
          <w:rFonts w:ascii="gobCL" w:hAnsi="gobCL"/>
          <w:szCs w:val="20"/>
        </w:rPr>
        <w:t xml:space="preserve"> </w:t>
      </w:r>
      <w:r w:rsidRPr="002D52AF">
        <w:rPr>
          <w:rFonts w:ascii="gobCL" w:hAnsi="gobCL"/>
          <w:szCs w:val="20"/>
        </w:rPr>
        <w:t xml:space="preserve">para </w:t>
      </w:r>
      <w:r>
        <w:rPr>
          <w:rFonts w:ascii="gobCL" w:hAnsi="gobCL"/>
          <w:szCs w:val="20"/>
        </w:rPr>
        <w:t>langostino colorado</w:t>
      </w:r>
      <w:r w:rsidRPr="002D52AF">
        <w:rPr>
          <w:rFonts w:ascii="gobCL" w:hAnsi="gobCL"/>
          <w:szCs w:val="20"/>
        </w:rPr>
        <w:t xml:space="preserve"> </w:t>
      </w:r>
      <w:proofErr w:type="spellStart"/>
      <w:r>
        <w:rPr>
          <w:rFonts w:ascii="gobCL" w:hAnsi="gobCL"/>
          <w:szCs w:val="20"/>
        </w:rPr>
        <w:t>AyP</w:t>
      </w:r>
      <w:proofErr w:type="spellEnd"/>
      <w:r>
        <w:rPr>
          <w:rFonts w:ascii="gobCL" w:hAnsi="gobCL"/>
          <w:szCs w:val="20"/>
        </w:rPr>
        <w:t>-COQ</w:t>
      </w:r>
      <w:r w:rsidRPr="002D52AF">
        <w:rPr>
          <w:rFonts w:ascii="gobCL" w:hAnsi="gobCL"/>
          <w:szCs w:val="20"/>
        </w:rPr>
        <w:t>.</w:t>
      </w:r>
    </w:p>
    <w:tbl>
      <w:tblPr>
        <w:tblW w:w="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1328"/>
        <w:gridCol w:w="1639"/>
        <w:gridCol w:w="1490"/>
      </w:tblGrid>
      <w:tr w:rsidR="00B86BCD" w:rsidRPr="00ED6E30" w14:paraId="6DD3CE2A" w14:textId="77777777" w:rsidTr="00CB12A9">
        <w:trPr>
          <w:trHeight w:val="531"/>
          <w:jc w:val="center"/>
        </w:trPr>
        <w:tc>
          <w:tcPr>
            <w:tcW w:w="1537" w:type="dxa"/>
            <w:vAlign w:val="center"/>
          </w:tcPr>
          <w:p w14:paraId="27910B74" w14:textId="77777777" w:rsidR="00B86BCD" w:rsidRPr="002D52AF" w:rsidRDefault="00B86BCD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02711C30" w14:textId="77777777" w:rsidR="00B86BCD" w:rsidRPr="002D52AF" w:rsidRDefault="00B86BCD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Tamaño lote (t)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8531602" w14:textId="77777777" w:rsidR="00B86BCD" w:rsidRPr="002D52AF" w:rsidRDefault="00B86BCD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Precio Mínimo en $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14:paraId="368029E4" w14:textId="77777777" w:rsidR="00B86BCD" w:rsidRPr="002D52AF" w:rsidRDefault="00B86BCD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2D52AF">
              <w:rPr>
                <w:rFonts w:ascii="gobCL" w:hAnsi="gobCL"/>
                <w:bCs/>
                <w:color w:val="000000"/>
                <w:sz w:val="20"/>
                <w:szCs w:val="20"/>
              </w:rPr>
              <w:t>Precio Mínimo en UTM</w:t>
            </w:r>
          </w:p>
        </w:tc>
      </w:tr>
      <w:tr w:rsidR="00B86BCD" w:rsidRPr="00ED6E30" w14:paraId="0E57ABE5" w14:textId="77777777" w:rsidTr="00CB12A9">
        <w:trPr>
          <w:trHeight w:val="315"/>
          <w:jc w:val="center"/>
        </w:trPr>
        <w:tc>
          <w:tcPr>
            <w:tcW w:w="1537" w:type="dxa"/>
            <w:vAlign w:val="center"/>
          </w:tcPr>
          <w:p w14:paraId="71992641" w14:textId="367744F6" w:rsidR="00B86BCD" w:rsidRPr="002D52AF" w:rsidRDefault="00B86BCD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0,0000</w:t>
            </w:r>
            <w:r w:rsidR="00F164DA">
              <w:rPr>
                <w:rFonts w:ascii="gobCL" w:hAnsi="gobC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1B5D7557" w14:textId="2FDADA39" w:rsidR="00B86BCD" w:rsidRPr="00043BD3" w:rsidRDefault="00043BD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0,369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B6B4978" w14:textId="4E976D10" w:rsidR="00B86BCD" w:rsidRPr="00043BD3" w:rsidRDefault="00043BD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22.201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0DEE69A6" w14:textId="5FD4306A" w:rsidR="00B86BCD" w:rsidRPr="00043BD3" w:rsidRDefault="00043BD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0,333</w:t>
            </w:r>
          </w:p>
        </w:tc>
      </w:tr>
    </w:tbl>
    <w:p w14:paraId="546A3892" w14:textId="77777777" w:rsidR="00B86BCD" w:rsidRPr="00ED6E30" w:rsidRDefault="00B86BCD" w:rsidP="00B86BCD">
      <w:pPr>
        <w:pStyle w:val="Textoindependiente"/>
        <w:rPr>
          <w:rFonts w:ascii="gobCL" w:hAnsi="gobCL"/>
          <w:bCs/>
          <w:sz w:val="22"/>
          <w:szCs w:val="22"/>
        </w:rPr>
      </w:pPr>
    </w:p>
    <w:p w14:paraId="0A0924B7" w14:textId="77777777" w:rsidR="00B86BCD" w:rsidRPr="00ED6E30" w:rsidRDefault="00B86BCD" w:rsidP="00B86BCD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Además, se calculó el precio mínimo de la oferta del recurso </w:t>
      </w:r>
      <w:r>
        <w:rPr>
          <w:rFonts w:ascii="gobCL" w:hAnsi="gobCL"/>
          <w:bCs/>
          <w:sz w:val="22"/>
          <w:szCs w:val="22"/>
        </w:rPr>
        <w:t>langostino amarillo</w:t>
      </w:r>
      <w:r w:rsidRPr="00ED6E30">
        <w:rPr>
          <w:rFonts w:ascii="gobCL" w:hAnsi="gobCL"/>
          <w:bCs/>
          <w:sz w:val="22"/>
          <w:szCs w:val="22"/>
        </w:rPr>
        <w:t xml:space="preserve"> de la siguiente manera: </w:t>
      </w:r>
    </w:p>
    <w:p w14:paraId="1BD234A2" w14:textId="053E8346" w:rsidR="00B86BCD" w:rsidRPr="00ED6E30" w:rsidRDefault="00B86BCD" w:rsidP="00B86BCD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Precio mínimo = (Toneladas a subastar) * (VS </w:t>
      </w:r>
      <w:proofErr w:type="spellStart"/>
      <w:proofErr w:type="gramStart"/>
      <w:r>
        <w:rPr>
          <w:rFonts w:ascii="gobCL" w:hAnsi="gobCL"/>
          <w:bCs/>
          <w:sz w:val="22"/>
          <w:szCs w:val="22"/>
          <w:vertAlign w:val="subscript"/>
        </w:rPr>
        <w:t>M.común</w:t>
      </w:r>
      <w:proofErr w:type="spellEnd"/>
      <w:proofErr w:type="gramEnd"/>
      <w:r w:rsidRPr="00ED6E30">
        <w:rPr>
          <w:rFonts w:ascii="gobCL" w:hAnsi="gobCL"/>
          <w:bCs/>
          <w:sz w:val="22"/>
          <w:szCs w:val="22"/>
        </w:rPr>
        <w:t xml:space="preserve">) * (UTM) * 4,2% </w:t>
      </w:r>
    </w:p>
    <w:p w14:paraId="6A39EE82" w14:textId="77777777" w:rsidR="00B86BCD" w:rsidRPr="00ED6E30" w:rsidRDefault="00B86BCD" w:rsidP="00B86BCD">
      <w:pPr>
        <w:pStyle w:val="Textoindependiente"/>
        <w:rPr>
          <w:rFonts w:ascii="gobCL" w:hAnsi="gobCL"/>
          <w:bCs/>
          <w:sz w:val="22"/>
          <w:szCs w:val="22"/>
        </w:rPr>
      </w:pPr>
    </w:p>
    <w:p w14:paraId="4B7FF241" w14:textId="71001CF5" w:rsidR="00B86BCD" w:rsidRPr="00ED6E30" w:rsidRDefault="00B86BCD" w:rsidP="00A60E37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  <w:lang w:val="es-CL"/>
        </w:rPr>
        <w:t xml:space="preserve">Las toneladas por subastar corresponden a un lote de </w:t>
      </w:r>
      <w:r>
        <w:rPr>
          <w:rFonts w:ascii="gobCL" w:hAnsi="gobCL"/>
          <w:sz w:val="22"/>
          <w:szCs w:val="22"/>
          <w:lang w:val="es-CL"/>
        </w:rPr>
        <w:t xml:space="preserve">coeficiente de participación de </w:t>
      </w:r>
      <w:r w:rsidRPr="001B55E3">
        <w:rPr>
          <w:rFonts w:ascii="gobCL" w:hAnsi="gobCL"/>
          <w:sz w:val="22"/>
          <w:szCs w:val="22"/>
          <w:lang w:val="es-CL"/>
        </w:rPr>
        <w:t>0,00</w:t>
      </w:r>
      <w:r>
        <w:rPr>
          <w:rFonts w:ascii="gobCL" w:hAnsi="gobCL"/>
          <w:sz w:val="22"/>
          <w:szCs w:val="22"/>
          <w:lang w:val="es-CL"/>
        </w:rPr>
        <w:t>0</w:t>
      </w:r>
      <w:r w:rsidR="00A60E37">
        <w:rPr>
          <w:rFonts w:ascii="gobCL" w:hAnsi="gobCL"/>
          <w:sz w:val="22"/>
          <w:szCs w:val="22"/>
          <w:lang w:val="es-CL"/>
        </w:rPr>
        <w:t>0179</w:t>
      </w:r>
      <w:r w:rsidRPr="001B55E3">
        <w:rPr>
          <w:rFonts w:ascii="gobCL" w:hAnsi="gobCL"/>
          <w:sz w:val="22"/>
          <w:szCs w:val="22"/>
          <w:lang w:val="es-CL"/>
        </w:rPr>
        <w:t xml:space="preserve"> de </w:t>
      </w:r>
      <w:r w:rsidR="00A60E37" w:rsidRPr="00A60E37">
        <w:rPr>
          <w:rFonts w:ascii="gobCL" w:hAnsi="gobCL"/>
          <w:sz w:val="22"/>
          <w:szCs w:val="22"/>
          <w:lang w:val="es-CL"/>
        </w:rPr>
        <w:t>0,369</w:t>
      </w:r>
      <w:r w:rsidRPr="00A60E37">
        <w:rPr>
          <w:rFonts w:ascii="gobCL" w:hAnsi="gobCL"/>
          <w:sz w:val="22"/>
          <w:szCs w:val="22"/>
          <w:lang w:val="es-CL"/>
        </w:rPr>
        <w:t xml:space="preserve"> toneladas.</w:t>
      </w:r>
    </w:p>
    <w:p w14:paraId="067D7937" w14:textId="11112624" w:rsidR="00B86BCD" w:rsidRPr="00ED6E30" w:rsidRDefault="00B86BCD" w:rsidP="00A60E37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 xml:space="preserve">Valor sanción fijado en D. Ex. </w:t>
      </w:r>
      <w:proofErr w:type="spellStart"/>
      <w:r w:rsidRPr="00ED6E30">
        <w:rPr>
          <w:rFonts w:ascii="gobCL" w:hAnsi="gobCL"/>
          <w:sz w:val="22"/>
          <w:szCs w:val="22"/>
        </w:rPr>
        <w:t>Nº</w:t>
      </w:r>
      <w:proofErr w:type="spellEnd"/>
      <w:r w:rsidRPr="00ED6E30">
        <w:rPr>
          <w:rFonts w:ascii="gobCL" w:hAnsi="gobCL"/>
          <w:sz w:val="22"/>
          <w:szCs w:val="22"/>
        </w:rPr>
        <w:t xml:space="preserve"> </w:t>
      </w:r>
      <w:r>
        <w:rPr>
          <w:rFonts w:ascii="gobCL" w:hAnsi="gobCL"/>
          <w:sz w:val="22"/>
          <w:szCs w:val="22"/>
        </w:rPr>
        <w:t>147</w:t>
      </w:r>
      <w:r w:rsidRPr="00ED6E30">
        <w:rPr>
          <w:rFonts w:ascii="gobCL" w:hAnsi="gobCL"/>
          <w:sz w:val="22"/>
          <w:szCs w:val="22"/>
        </w:rPr>
        <w:t>/202</w:t>
      </w:r>
      <w:r>
        <w:rPr>
          <w:rFonts w:ascii="gobCL" w:hAnsi="gobCL"/>
          <w:sz w:val="22"/>
          <w:szCs w:val="22"/>
        </w:rPr>
        <w:t>3</w:t>
      </w:r>
      <w:r w:rsidRPr="00ED6E30">
        <w:rPr>
          <w:rFonts w:ascii="gobCL" w:hAnsi="gobCL"/>
          <w:sz w:val="22"/>
          <w:szCs w:val="22"/>
        </w:rPr>
        <w:t xml:space="preserve"> para </w:t>
      </w:r>
      <w:r>
        <w:rPr>
          <w:rFonts w:ascii="gobCL" w:hAnsi="gobCL"/>
          <w:sz w:val="22"/>
          <w:szCs w:val="22"/>
        </w:rPr>
        <w:t>merluza común</w:t>
      </w:r>
      <w:r w:rsidRPr="00ED6E30">
        <w:rPr>
          <w:rFonts w:ascii="gobCL" w:hAnsi="gobCL"/>
          <w:sz w:val="22"/>
          <w:szCs w:val="22"/>
        </w:rPr>
        <w:t xml:space="preserve"> es de </w:t>
      </w:r>
      <w:r>
        <w:rPr>
          <w:rFonts w:ascii="gobCL" w:hAnsi="gobCL"/>
          <w:sz w:val="22"/>
          <w:szCs w:val="22"/>
        </w:rPr>
        <w:t>21</w:t>
      </w:r>
      <w:r w:rsidRPr="00ED6E30">
        <w:rPr>
          <w:rFonts w:ascii="gobCL" w:hAnsi="gobCL"/>
          <w:sz w:val="22"/>
          <w:szCs w:val="22"/>
        </w:rPr>
        <w:t>,</w:t>
      </w:r>
      <w:r>
        <w:rPr>
          <w:rFonts w:ascii="gobCL" w:hAnsi="gobCL"/>
          <w:sz w:val="22"/>
          <w:szCs w:val="22"/>
        </w:rPr>
        <w:t>5</w:t>
      </w:r>
      <w:r w:rsidRPr="00ED6E30">
        <w:rPr>
          <w:rFonts w:ascii="gobCL" w:hAnsi="gobCL"/>
          <w:sz w:val="22"/>
          <w:szCs w:val="22"/>
        </w:rPr>
        <w:t xml:space="preserve"> UTM/t, considerando el valor de UTM = </w:t>
      </w:r>
      <w:r w:rsidR="00A60E37" w:rsidRPr="00A60E37">
        <w:rPr>
          <w:rFonts w:ascii="gobCL" w:hAnsi="gobCL"/>
          <w:sz w:val="22"/>
          <w:szCs w:val="22"/>
        </w:rPr>
        <w:t>$66.628 del mes de noviembre del año 2024, según SII.</w:t>
      </w:r>
    </w:p>
    <w:p w14:paraId="169FDF0B" w14:textId="77777777" w:rsidR="00B86BCD" w:rsidRPr="00ED6E30" w:rsidRDefault="00B86BCD" w:rsidP="00B86BCD">
      <w:pPr>
        <w:pStyle w:val="Textonotapie"/>
        <w:numPr>
          <w:ilvl w:val="0"/>
          <w:numId w:val="41"/>
        </w:numPr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>Aproximado</w:t>
      </w:r>
      <w:r w:rsidRPr="00ED6E30">
        <w:rPr>
          <w:rFonts w:ascii="gobCL" w:hAnsi="gobCL"/>
          <w:sz w:val="22"/>
          <w:szCs w:val="22"/>
          <w:lang w:val="es-CL"/>
        </w:rPr>
        <w:t xml:space="preserve"> al segundo decimal </w:t>
      </w:r>
      <w:proofErr w:type="gramStart"/>
      <w:r w:rsidRPr="00ED6E30">
        <w:rPr>
          <w:rFonts w:ascii="gobCL" w:hAnsi="gobCL"/>
          <w:sz w:val="22"/>
          <w:szCs w:val="22"/>
          <w:lang w:val="es-CL"/>
        </w:rPr>
        <w:t>de acuerdo a</w:t>
      </w:r>
      <w:proofErr w:type="gramEnd"/>
      <w:r w:rsidRPr="00ED6E30">
        <w:rPr>
          <w:rFonts w:ascii="gobCL" w:hAnsi="gobCL"/>
          <w:sz w:val="22"/>
          <w:szCs w:val="22"/>
          <w:lang w:val="es-CL"/>
        </w:rPr>
        <w:t xml:space="preserve"> Ley del Redondeo, Ley 20.956.</w:t>
      </w:r>
    </w:p>
    <w:p w14:paraId="34318EF7" w14:textId="44563C09" w:rsidR="00C33EC4" w:rsidRDefault="00C33EC4" w:rsidP="003F6874">
      <w:pPr>
        <w:pStyle w:val="Textoindependiente"/>
        <w:rPr>
          <w:rFonts w:ascii="gobCL" w:hAnsi="gobCL"/>
          <w:bCs/>
          <w:sz w:val="22"/>
          <w:szCs w:val="22"/>
        </w:rPr>
      </w:pPr>
    </w:p>
    <w:p w14:paraId="3B49FF42" w14:textId="20D26696" w:rsidR="009279AE" w:rsidRDefault="009279AE" w:rsidP="003F6874">
      <w:pPr>
        <w:pStyle w:val="Textoindependiente"/>
        <w:rPr>
          <w:rFonts w:ascii="gobCL" w:hAnsi="gobCL"/>
          <w:bCs/>
          <w:sz w:val="22"/>
          <w:szCs w:val="22"/>
        </w:rPr>
      </w:pPr>
    </w:p>
    <w:p w14:paraId="114BF4A2" w14:textId="60FEF932" w:rsidR="00DA1F8F" w:rsidRDefault="00DA1F8F" w:rsidP="001A46A0">
      <w:pPr>
        <w:pStyle w:val="Textoindependiente"/>
        <w:rPr>
          <w:rFonts w:ascii="gobCL" w:hAnsi="gobCL"/>
          <w:bCs/>
          <w:sz w:val="22"/>
          <w:szCs w:val="22"/>
        </w:rPr>
      </w:pPr>
    </w:p>
    <w:p w14:paraId="14BDBC9B" w14:textId="1B487D53" w:rsidR="008325C6" w:rsidRPr="00ED6E30" w:rsidRDefault="00F63DA1" w:rsidP="008325C6">
      <w:pPr>
        <w:pStyle w:val="Textoindependiente"/>
        <w:rPr>
          <w:rFonts w:ascii="gobCL" w:hAnsi="gobCL"/>
          <w:b/>
          <w:bCs/>
          <w:sz w:val="22"/>
          <w:szCs w:val="22"/>
        </w:rPr>
      </w:pPr>
      <w:bookmarkStart w:id="3" w:name="OLE_LINK1"/>
      <w:r w:rsidRPr="00ED6E30">
        <w:rPr>
          <w:rFonts w:ascii="gobCL" w:hAnsi="gobCL"/>
          <w:b/>
          <w:bCs/>
          <w:sz w:val="22"/>
          <w:szCs w:val="22"/>
        </w:rPr>
        <w:t xml:space="preserve">3.3 </w:t>
      </w:r>
      <w:r w:rsidR="008325C6" w:rsidRPr="00ED6E30">
        <w:rPr>
          <w:rFonts w:ascii="gobCL" w:hAnsi="gobCL"/>
          <w:b/>
          <w:bCs/>
          <w:sz w:val="22"/>
          <w:szCs w:val="22"/>
        </w:rPr>
        <w:t>Monto de garantía de seriedad de la oferta</w:t>
      </w:r>
    </w:p>
    <w:bookmarkEnd w:id="3"/>
    <w:p w14:paraId="4DF94C84" w14:textId="77777777" w:rsidR="008325C6" w:rsidRPr="00ED6E30" w:rsidRDefault="008325C6" w:rsidP="008325C6">
      <w:pPr>
        <w:pStyle w:val="Textoindependiente"/>
        <w:ind w:left="720"/>
        <w:rPr>
          <w:rFonts w:ascii="gobCL" w:hAnsi="gobCL"/>
          <w:b/>
          <w:bCs/>
          <w:sz w:val="22"/>
          <w:szCs w:val="22"/>
          <w:u w:val="single"/>
        </w:rPr>
      </w:pPr>
    </w:p>
    <w:p w14:paraId="3A839ED0" w14:textId="05E50AF5" w:rsidR="00B047EC" w:rsidRPr="0067582B" w:rsidRDefault="002D243B" w:rsidP="0099250A">
      <w:pPr>
        <w:pStyle w:val="Textoindependiente"/>
        <w:numPr>
          <w:ilvl w:val="0"/>
          <w:numId w:val="41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b/>
          <w:bCs/>
          <w:sz w:val="22"/>
          <w:szCs w:val="22"/>
        </w:rPr>
        <w:t>Langostino amarillo ATCMA-COQ</w:t>
      </w:r>
    </w:p>
    <w:p w14:paraId="1C8C5FDA" w14:textId="235978FF" w:rsidR="00AC470E" w:rsidRPr="0067582B" w:rsidRDefault="00AC470E" w:rsidP="008325C6">
      <w:pPr>
        <w:pStyle w:val="Textoindependiente"/>
        <w:rPr>
          <w:rFonts w:ascii="gobCL" w:hAnsi="gobCL"/>
          <w:bCs/>
          <w:sz w:val="22"/>
          <w:szCs w:val="22"/>
        </w:rPr>
      </w:pPr>
    </w:p>
    <w:p w14:paraId="1D94B435" w14:textId="0A15509A" w:rsidR="008325C6" w:rsidRPr="0067582B" w:rsidRDefault="008325C6" w:rsidP="008325C6">
      <w:pPr>
        <w:pStyle w:val="Textoindependiente"/>
        <w:rPr>
          <w:rFonts w:ascii="gobCL" w:hAnsi="gobCL"/>
          <w:bCs/>
          <w:sz w:val="22"/>
          <w:szCs w:val="22"/>
        </w:rPr>
      </w:pPr>
      <w:r w:rsidRPr="0067582B">
        <w:rPr>
          <w:rFonts w:ascii="gobCL" w:hAnsi="gobCL"/>
          <w:bCs/>
          <w:sz w:val="22"/>
          <w:szCs w:val="22"/>
        </w:rPr>
        <w:t xml:space="preserve">Por otra parte, se calculó el monto de garantía de seriedad de la oferta para </w:t>
      </w:r>
      <w:r w:rsidR="00661BF3">
        <w:rPr>
          <w:rFonts w:ascii="gobCL" w:hAnsi="gobCL"/>
          <w:bCs/>
          <w:sz w:val="22"/>
          <w:szCs w:val="22"/>
          <w:u w:val="single"/>
        </w:rPr>
        <w:t>l</w:t>
      </w:r>
      <w:r w:rsidR="00661BF3" w:rsidRPr="00661BF3">
        <w:rPr>
          <w:rFonts w:ascii="gobCL" w:hAnsi="gobCL"/>
          <w:b/>
          <w:sz w:val="22"/>
          <w:szCs w:val="22"/>
          <w:u w:val="single"/>
        </w:rPr>
        <w:t>angostino amarillo ATCMA-COQ</w:t>
      </w:r>
      <w:r w:rsidRPr="00661BF3">
        <w:rPr>
          <w:rFonts w:ascii="gobCL" w:hAnsi="gobCL"/>
          <w:b/>
          <w:sz w:val="22"/>
          <w:szCs w:val="22"/>
        </w:rPr>
        <w:t xml:space="preserve"> </w:t>
      </w:r>
      <w:r w:rsidRPr="0067582B">
        <w:rPr>
          <w:rFonts w:ascii="gobCL" w:hAnsi="gobCL"/>
          <w:bCs/>
          <w:sz w:val="22"/>
          <w:szCs w:val="22"/>
        </w:rPr>
        <w:t xml:space="preserve">de la siguiente manera: </w:t>
      </w:r>
    </w:p>
    <w:p w14:paraId="51AB53D6" w14:textId="631099BD" w:rsidR="008325C6" w:rsidRPr="00ED6E30" w:rsidRDefault="008325C6" w:rsidP="008325C6">
      <w:pPr>
        <w:pStyle w:val="Textoindependiente"/>
        <w:rPr>
          <w:rFonts w:ascii="gobCL" w:hAnsi="gobCL"/>
          <w:bCs/>
          <w:sz w:val="22"/>
          <w:szCs w:val="22"/>
        </w:rPr>
      </w:pPr>
      <w:r w:rsidRPr="0067582B">
        <w:rPr>
          <w:rFonts w:ascii="gobCL" w:hAnsi="gobCL"/>
          <w:bCs/>
          <w:sz w:val="22"/>
          <w:szCs w:val="22"/>
        </w:rPr>
        <w:t xml:space="preserve">Monto Garantía = (Toneladas a subastar) * (VS </w:t>
      </w:r>
      <w:proofErr w:type="spellStart"/>
      <w:proofErr w:type="gramStart"/>
      <w:r w:rsidR="004E7D86">
        <w:rPr>
          <w:rFonts w:ascii="gobCL" w:hAnsi="gobCL"/>
          <w:bCs/>
          <w:sz w:val="22"/>
          <w:szCs w:val="22"/>
          <w:vertAlign w:val="subscript"/>
        </w:rPr>
        <w:t>l.amarillo</w:t>
      </w:r>
      <w:proofErr w:type="spellEnd"/>
      <w:proofErr w:type="gramEnd"/>
      <w:r w:rsidRPr="0067582B">
        <w:rPr>
          <w:rFonts w:ascii="gobCL" w:hAnsi="gobCL"/>
          <w:bCs/>
          <w:sz w:val="22"/>
          <w:szCs w:val="22"/>
        </w:rPr>
        <w:t>) * (UTM) * (1/12)</w:t>
      </w:r>
    </w:p>
    <w:p w14:paraId="5D0682F1" w14:textId="77777777" w:rsidR="00641540" w:rsidRPr="00ED6E30" w:rsidRDefault="00641540" w:rsidP="008325C6">
      <w:pPr>
        <w:pStyle w:val="Textoindependiente"/>
        <w:rPr>
          <w:rFonts w:ascii="gobCL" w:hAnsi="gobCL"/>
          <w:bCs/>
          <w:sz w:val="22"/>
          <w:szCs w:val="22"/>
        </w:rPr>
      </w:pPr>
    </w:p>
    <w:p w14:paraId="34BC1AD3" w14:textId="4D8E0945" w:rsidR="008325C6" w:rsidRPr="00A60E37" w:rsidRDefault="008325C6" w:rsidP="00641540">
      <w:pPr>
        <w:pStyle w:val="Textoindependiente"/>
        <w:ind w:firstLine="360"/>
        <w:rPr>
          <w:rFonts w:ascii="gobCL" w:hAnsi="gobCL"/>
          <w:bCs/>
          <w:sz w:val="22"/>
          <w:szCs w:val="22"/>
        </w:rPr>
      </w:pPr>
      <w:r w:rsidRPr="00A60E37">
        <w:rPr>
          <w:rFonts w:ascii="gobCL" w:hAnsi="gobCL"/>
          <w:bCs/>
          <w:sz w:val="22"/>
          <w:szCs w:val="22"/>
        </w:rPr>
        <w:t>Dónde:</w:t>
      </w:r>
    </w:p>
    <w:p w14:paraId="2F5DE194" w14:textId="06BB50FF" w:rsidR="008325C6" w:rsidRPr="00A60E37" w:rsidRDefault="00CF63C9" w:rsidP="008325C6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A60E37">
        <w:rPr>
          <w:rFonts w:ascii="gobCL" w:hAnsi="gobCL"/>
          <w:sz w:val="22"/>
          <w:szCs w:val="22"/>
          <w:lang w:val="es-CL"/>
        </w:rPr>
        <w:t>Las toneladas por subastar</w:t>
      </w:r>
      <w:r w:rsidR="008325C6" w:rsidRPr="00A60E37">
        <w:rPr>
          <w:rFonts w:ascii="gobCL" w:hAnsi="gobCL"/>
          <w:sz w:val="22"/>
          <w:szCs w:val="22"/>
          <w:lang w:val="es-CL"/>
        </w:rPr>
        <w:t xml:space="preserve"> corresponden a un lote de </w:t>
      </w:r>
      <w:r w:rsidR="00DB2D66" w:rsidRPr="00A60E37">
        <w:rPr>
          <w:rFonts w:ascii="gobCL" w:hAnsi="gobCL"/>
          <w:sz w:val="22"/>
          <w:szCs w:val="22"/>
          <w:lang w:val="es-CL"/>
        </w:rPr>
        <w:t>coeficiente de participación</w:t>
      </w:r>
      <w:r w:rsidR="008325C6" w:rsidRPr="00A60E37">
        <w:rPr>
          <w:rFonts w:ascii="gobCL" w:hAnsi="gobCL"/>
          <w:sz w:val="22"/>
          <w:szCs w:val="22"/>
          <w:lang w:val="es-CL"/>
        </w:rPr>
        <w:t xml:space="preserve"> de </w:t>
      </w:r>
      <w:r w:rsidR="00A60E37">
        <w:rPr>
          <w:rFonts w:ascii="gobCL" w:hAnsi="gobCL"/>
          <w:sz w:val="22"/>
          <w:szCs w:val="22"/>
          <w:lang w:val="es-CL"/>
        </w:rPr>
        <w:t>0,066</w:t>
      </w:r>
      <w:r w:rsidR="0067582B" w:rsidRPr="00A60E37">
        <w:rPr>
          <w:rFonts w:ascii="gobCL" w:hAnsi="gobCL"/>
          <w:sz w:val="22"/>
          <w:szCs w:val="22"/>
          <w:lang w:val="es-CL"/>
        </w:rPr>
        <w:t xml:space="preserve"> </w:t>
      </w:r>
      <w:r w:rsidR="009F45B4" w:rsidRPr="00A60E37">
        <w:rPr>
          <w:rFonts w:ascii="gobCL" w:hAnsi="gobCL"/>
          <w:sz w:val="22"/>
          <w:szCs w:val="22"/>
          <w:lang w:val="es-CL"/>
        </w:rPr>
        <w:t>toneladas</w:t>
      </w:r>
      <w:r w:rsidR="00DB2D66" w:rsidRPr="00A60E37">
        <w:rPr>
          <w:rFonts w:ascii="gobCL" w:hAnsi="gobCL"/>
          <w:sz w:val="22"/>
          <w:szCs w:val="22"/>
          <w:lang w:val="es-CL"/>
        </w:rPr>
        <w:t>.</w:t>
      </w:r>
    </w:p>
    <w:p w14:paraId="3FA3A4D6" w14:textId="4FAA2DFB" w:rsidR="008325C6" w:rsidRPr="00A60E37" w:rsidRDefault="008325C6" w:rsidP="008325C6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A60E37">
        <w:rPr>
          <w:rFonts w:ascii="gobCL" w:hAnsi="gobCL"/>
          <w:sz w:val="22"/>
          <w:szCs w:val="22"/>
        </w:rPr>
        <w:t xml:space="preserve">Valor sanción vigente (D. Ex. </w:t>
      </w:r>
      <w:proofErr w:type="spellStart"/>
      <w:r w:rsidRPr="00A60E37">
        <w:rPr>
          <w:rFonts w:ascii="gobCL" w:hAnsi="gobCL"/>
          <w:sz w:val="22"/>
          <w:szCs w:val="22"/>
        </w:rPr>
        <w:t>Nº</w:t>
      </w:r>
      <w:proofErr w:type="spellEnd"/>
      <w:r w:rsidRPr="00A60E37">
        <w:rPr>
          <w:rFonts w:ascii="gobCL" w:hAnsi="gobCL"/>
          <w:sz w:val="22"/>
          <w:szCs w:val="22"/>
        </w:rPr>
        <w:t xml:space="preserve"> </w:t>
      </w:r>
      <w:r w:rsidR="004E7D86" w:rsidRPr="00A60E37">
        <w:rPr>
          <w:rFonts w:ascii="gobCL" w:hAnsi="gobCL"/>
          <w:sz w:val="22"/>
          <w:szCs w:val="22"/>
        </w:rPr>
        <w:t>147</w:t>
      </w:r>
      <w:r w:rsidRPr="00A60E37">
        <w:rPr>
          <w:rFonts w:ascii="gobCL" w:hAnsi="gobCL"/>
          <w:sz w:val="22"/>
          <w:szCs w:val="22"/>
        </w:rPr>
        <w:t>/20</w:t>
      </w:r>
      <w:r w:rsidR="00CF63C9" w:rsidRPr="00A60E37">
        <w:rPr>
          <w:rFonts w:ascii="gobCL" w:hAnsi="gobCL"/>
          <w:sz w:val="22"/>
          <w:szCs w:val="22"/>
        </w:rPr>
        <w:t>2</w:t>
      </w:r>
      <w:r w:rsidR="004E7D86" w:rsidRPr="00A60E37">
        <w:rPr>
          <w:rFonts w:ascii="gobCL" w:hAnsi="gobCL"/>
          <w:sz w:val="22"/>
          <w:szCs w:val="22"/>
        </w:rPr>
        <w:t>3</w:t>
      </w:r>
      <w:r w:rsidR="009F45B4" w:rsidRPr="00A60E37">
        <w:rPr>
          <w:rFonts w:ascii="gobCL" w:hAnsi="gobCL"/>
          <w:sz w:val="22"/>
          <w:szCs w:val="22"/>
        </w:rPr>
        <w:t xml:space="preserve">) para </w:t>
      </w:r>
      <w:r w:rsidR="004E7D86" w:rsidRPr="00A60E37">
        <w:rPr>
          <w:rFonts w:ascii="gobCL" w:hAnsi="gobCL"/>
          <w:sz w:val="22"/>
          <w:szCs w:val="22"/>
        </w:rPr>
        <w:t>langostino amarillo</w:t>
      </w:r>
      <w:r w:rsidR="009F45B4" w:rsidRPr="00A60E37">
        <w:rPr>
          <w:rFonts w:ascii="gobCL" w:hAnsi="gobCL"/>
          <w:sz w:val="22"/>
          <w:szCs w:val="22"/>
        </w:rPr>
        <w:t xml:space="preserve"> es de</w:t>
      </w:r>
      <w:r w:rsidR="00CF63C9" w:rsidRPr="00A60E37">
        <w:rPr>
          <w:rFonts w:ascii="gobCL" w:hAnsi="gobCL"/>
          <w:sz w:val="22"/>
          <w:szCs w:val="22"/>
        </w:rPr>
        <w:t xml:space="preserve"> </w:t>
      </w:r>
      <w:r w:rsidR="004E7D86" w:rsidRPr="00A60E37">
        <w:rPr>
          <w:rFonts w:ascii="gobCL" w:hAnsi="gobCL"/>
          <w:sz w:val="22"/>
          <w:szCs w:val="22"/>
        </w:rPr>
        <w:t>42,0</w:t>
      </w:r>
      <w:r w:rsidRPr="00A60E37">
        <w:rPr>
          <w:rFonts w:ascii="gobCL" w:hAnsi="gobCL"/>
          <w:sz w:val="22"/>
          <w:szCs w:val="22"/>
        </w:rPr>
        <w:t xml:space="preserve"> UTM/</w:t>
      </w:r>
      <w:r w:rsidR="004C0AF3" w:rsidRPr="00A60E37">
        <w:rPr>
          <w:rFonts w:ascii="gobCL" w:hAnsi="gobCL"/>
          <w:sz w:val="22"/>
          <w:szCs w:val="22"/>
        </w:rPr>
        <w:t>t</w:t>
      </w:r>
      <w:r w:rsidRPr="00A60E37">
        <w:rPr>
          <w:rFonts w:ascii="gobCL" w:hAnsi="gobCL"/>
          <w:sz w:val="22"/>
          <w:szCs w:val="22"/>
        </w:rPr>
        <w:t>, consid</w:t>
      </w:r>
      <w:r w:rsidR="00AC470E" w:rsidRPr="00A60E37">
        <w:rPr>
          <w:rFonts w:ascii="gobCL" w:hAnsi="gobCL"/>
          <w:sz w:val="22"/>
          <w:szCs w:val="22"/>
        </w:rPr>
        <w:t xml:space="preserve">erando el valor de </w:t>
      </w:r>
      <w:r w:rsidR="00A60E37" w:rsidRPr="00A60E37">
        <w:rPr>
          <w:rFonts w:ascii="gobCL" w:hAnsi="gobCL"/>
          <w:sz w:val="22"/>
          <w:szCs w:val="22"/>
        </w:rPr>
        <w:t>$66.628 del mes de noviembre del año 2024, según SII.</w:t>
      </w:r>
    </w:p>
    <w:p w14:paraId="03F776D2" w14:textId="4E38C38D" w:rsidR="008325C6" w:rsidRPr="00A60E37" w:rsidRDefault="008325C6" w:rsidP="008325C6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A60E37">
        <w:rPr>
          <w:rFonts w:ascii="gobCL" w:hAnsi="gobCL"/>
          <w:sz w:val="22"/>
          <w:szCs w:val="22"/>
        </w:rPr>
        <w:t>Coeficiente (1/12), correspondiente a la fracción de un mes que se mantendrá la vigencia de la garantía.</w:t>
      </w:r>
    </w:p>
    <w:p w14:paraId="4795F7EF" w14:textId="77777777" w:rsidR="008325C6" w:rsidRPr="00A60E37" w:rsidRDefault="008325C6" w:rsidP="008325C6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  <w:sz w:val="22"/>
          <w:szCs w:val="22"/>
        </w:rPr>
      </w:pPr>
      <w:r w:rsidRPr="00A60E37">
        <w:rPr>
          <w:rFonts w:ascii="gobCL" w:hAnsi="gobCL"/>
          <w:sz w:val="22"/>
          <w:szCs w:val="22"/>
        </w:rPr>
        <w:t>Aproximado</w:t>
      </w:r>
      <w:r w:rsidRPr="00A60E37">
        <w:rPr>
          <w:rFonts w:ascii="gobCL" w:hAnsi="gobCL"/>
          <w:sz w:val="22"/>
          <w:szCs w:val="22"/>
          <w:lang w:val="es-CL"/>
        </w:rPr>
        <w:t xml:space="preserve"> al segundo decimal </w:t>
      </w:r>
      <w:proofErr w:type="gramStart"/>
      <w:r w:rsidRPr="00A60E37">
        <w:rPr>
          <w:rFonts w:ascii="gobCL" w:hAnsi="gobCL"/>
          <w:sz w:val="22"/>
          <w:szCs w:val="22"/>
          <w:lang w:val="es-CL"/>
        </w:rPr>
        <w:t>de acuerdo a</w:t>
      </w:r>
      <w:proofErr w:type="gramEnd"/>
      <w:r w:rsidRPr="00A60E37">
        <w:rPr>
          <w:rFonts w:ascii="gobCL" w:hAnsi="gobCL"/>
          <w:sz w:val="22"/>
          <w:szCs w:val="22"/>
          <w:lang w:val="es-CL"/>
        </w:rPr>
        <w:t xml:space="preserve"> Ley del Redondeo, Ley 20.956.</w:t>
      </w:r>
    </w:p>
    <w:p w14:paraId="5F5554A7" w14:textId="77777777" w:rsidR="008325C6" w:rsidRPr="00ED6E30" w:rsidRDefault="008325C6" w:rsidP="008325C6">
      <w:pPr>
        <w:pStyle w:val="Textoindependiente"/>
        <w:rPr>
          <w:rFonts w:ascii="gobCL" w:hAnsi="gobCL"/>
          <w:bCs/>
          <w:sz w:val="22"/>
          <w:szCs w:val="22"/>
        </w:rPr>
      </w:pPr>
    </w:p>
    <w:p w14:paraId="679D79C9" w14:textId="608D334F" w:rsidR="008325C6" w:rsidRPr="00ED6E30" w:rsidRDefault="008325C6" w:rsidP="008325C6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Luego, los montos de garantía de seriedad de la oferta, expresados en pesos y en unidad tributaria mensual (UTM) de acuerdo </w:t>
      </w:r>
      <w:r w:rsidR="00104829" w:rsidRPr="00ED6E30">
        <w:rPr>
          <w:rFonts w:ascii="gobCL" w:hAnsi="gobCL"/>
          <w:bCs/>
          <w:sz w:val="22"/>
          <w:szCs w:val="22"/>
        </w:rPr>
        <w:t>con</w:t>
      </w:r>
      <w:r w:rsidRPr="00ED6E30">
        <w:rPr>
          <w:rFonts w:ascii="gobCL" w:hAnsi="gobCL"/>
          <w:bCs/>
          <w:sz w:val="22"/>
          <w:szCs w:val="22"/>
        </w:rPr>
        <w:t xml:space="preserve"> los cortes (%) fijos </w:t>
      </w:r>
      <w:r w:rsidR="006B285F" w:rsidRPr="00ED6E30">
        <w:rPr>
          <w:rFonts w:ascii="gobCL" w:hAnsi="gobCL"/>
          <w:bCs/>
          <w:sz w:val="22"/>
          <w:szCs w:val="22"/>
        </w:rPr>
        <w:t xml:space="preserve">para </w:t>
      </w:r>
      <w:r w:rsidR="008F0484" w:rsidRPr="00ED6E30">
        <w:rPr>
          <w:rFonts w:ascii="gobCL" w:hAnsi="gobCL"/>
          <w:bCs/>
          <w:sz w:val="22"/>
          <w:szCs w:val="22"/>
        </w:rPr>
        <w:t>jurel</w:t>
      </w:r>
      <w:r w:rsidR="00AC470E" w:rsidRPr="00ED6E30">
        <w:rPr>
          <w:rFonts w:ascii="gobCL" w:hAnsi="gobCL"/>
          <w:bCs/>
          <w:sz w:val="22"/>
          <w:szCs w:val="22"/>
        </w:rPr>
        <w:t xml:space="preserve"> se presentan en la Tabla </w:t>
      </w:r>
      <w:r w:rsidR="00D0570D">
        <w:rPr>
          <w:rFonts w:ascii="gobCL" w:hAnsi="gobCL"/>
          <w:bCs/>
          <w:sz w:val="22"/>
          <w:szCs w:val="22"/>
        </w:rPr>
        <w:t>7</w:t>
      </w:r>
      <w:r w:rsidR="006B285F" w:rsidRPr="00ED6E30">
        <w:rPr>
          <w:rFonts w:ascii="gobCL" w:hAnsi="gobCL"/>
          <w:bCs/>
          <w:sz w:val="22"/>
          <w:szCs w:val="22"/>
        </w:rPr>
        <w:t>.</w:t>
      </w:r>
    </w:p>
    <w:p w14:paraId="2BAE3A19" w14:textId="77777777" w:rsidR="00C5402A" w:rsidRPr="00ED6E30" w:rsidRDefault="00C5402A" w:rsidP="008325C6">
      <w:pPr>
        <w:pStyle w:val="Textoindependiente"/>
        <w:jc w:val="center"/>
        <w:rPr>
          <w:rFonts w:ascii="gobCL" w:hAnsi="gobCL"/>
          <w:sz w:val="22"/>
          <w:szCs w:val="22"/>
        </w:rPr>
      </w:pPr>
    </w:p>
    <w:p w14:paraId="40B7E9E5" w14:textId="37DA3983" w:rsidR="008325C6" w:rsidRPr="00DA1F8F" w:rsidRDefault="00AC470E" w:rsidP="008325C6">
      <w:pPr>
        <w:pStyle w:val="Textoindependiente"/>
        <w:jc w:val="center"/>
        <w:rPr>
          <w:rFonts w:ascii="gobCL" w:hAnsi="gobCL"/>
          <w:szCs w:val="20"/>
        </w:rPr>
      </w:pPr>
      <w:r w:rsidRPr="00DA1F8F">
        <w:rPr>
          <w:rFonts w:ascii="gobCL" w:hAnsi="gobCL"/>
          <w:szCs w:val="20"/>
        </w:rPr>
        <w:t xml:space="preserve">Tabla </w:t>
      </w:r>
      <w:r w:rsidR="00D0570D">
        <w:rPr>
          <w:rFonts w:ascii="gobCL" w:hAnsi="gobCL"/>
          <w:szCs w:val="20"/>
        </w:rPr>
        <w:t>7</w:t>
      </w:r>
      <w:r w:rsidR="008325C6" w:rsidRPr="00DA1F8F">
        <w:rPr>
          <w:rFonts w:ascii="gobCL" w:hAnsi="gobCL"/>
          <w:szCs w:val="20"/>
        </w:rPr>
        <w:t xml:space="preserve">. Montos de garantía de </w:t>
      </w:r>
      <w:r w:rsidR="00C90D21" w:rsidRPr="00DA1F8F">
        <w:rPr>
          <w:rFonts w:ascii="gobCL" w:hAnsi="gobCL"/>
          <w:szCs w:val="20"/>
        </w:rPr>
        <w:t>seriedad de la oferta (UTM)</w:t>
      </w:r>
      <w:r w:rsidR="008325C6" w:rsidRPr="00DA1F8F">
        <w:rPr>
          <w:rFonts w:ascii="gobCL" w:hAnsi="gobCL"/>
          <w:szCs w:val="20"/>
        </w:rPr>
        <w:t xml:space="preserve"> </w:t>
      </w:r>
      <w:r w:rsidR="00A60E37">
        <w:rPr>
          <w:rFonts w:ascii="gobCL" w:hAnsi="gobCL"/>
          <w:szCs w:val="20"/>
        </w:rPr>
        <w:t>langostino amarillo ATCMA-COQ</w:t>
      </w:r>
      <w:r w:rsidR="00F63DA1" w:rsidRPr="00DA1F8F">
        <w:rPr>
          <w:rFonts w:ascii="gobCL" w:hAnsi="gobCL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33"/>
        <w:gridCol w:w="1516"/>
      </w:tblGrid>
      <w:tr w:rsidR="004E7D86" w:rsidRPr="00DA1F8F" w14:paraId="066AA4CF" w14:textId="77777777" w:rsidTr="00E939A5">
        <w:trPr>
          <w:trHeight w:val="300"/>
          <w:jc w:val="center"/>
        </w:trPr>
        <w:tc>
          <w:tcPr>
            <w:tcW w:w="0" w:type="auto"/>
            <w:shd w:val="clear" w:color="000000" w:fill="FFFFFF"/>
            <w:vAlign w:val="center"/>
          </w:tcPr>
          <w:p w14:paraId="63708CE8" w14:textId="18FF80E8" w:rsidR="004E7D86" w:rsidRPr="00DA1F8F" w:rsidRDefault="004E7D86" w:rsidP="004F64E2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F297A0" w14:textId="15FB441B" w:rsidR="004E7D86" w:rsidRPr="00DA1F8F" w:rsidRDefault="004E7D86" w:rsidP="004F64E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>Garantía en $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3AFB2CA" w14:textId="03DE4015" w:rsidR="004E7D86" w:rsidRPr="00DA1F8F" w:rsidRDefault="004E7D86" w:rsidP="004F64E2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>Garantía en UTM</w:t>
            </w:r>
          </w:p>
        </w:tc>
      </w:tr>
      <w:tr w:rsidR="004E7D86" w:rsidRPr="00DA1F8F" w14:paraId="5ABFA7E6" w14:textId="77777777" w:rsidTr="00E939A5">
        <w:trPr>
          <w:trHeight w:val="300"/>
          <w:jc w:val="center"/>
        </w:trPr>
        <w:tc>
          <w:tcPr>
            <w:tcW w:w="0" w:type="auto"/>
            <w:vAlign w:val="center"/>
          </w:tcPr>
          <w:p w14:paraId="30C46CCC" w14:textId="13242326" w:rsidR="004E7D86" w:rsidRPr="00DA1F8F" w:rsidRDefault="004E7D86" w:rsidP="004F64E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color w:val="000000"/>
                <w:sz w:val="20"/>
                <w:szCs w:val="20"/>
              </w:rPr>
              <w:t>0,0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000600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598C5" w14:textId="268A3D3D" w:rsidR="004E7D86" w:rsidRPr="00A60E37" w:rsidRDefault="00A60E37" w:rsidP="004F64E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15.391</w:t>
            </w:r>
          </w:p>
        </w:tc>
        <w:tc>
          <w:tcPr>
            <w:tcW w:w="0" w:type="auto"/>
            <w:vAlign w:val="bottom"/>
          </w:tcPr>
          <w:p w14:paraId="26926F2C" w14:textId="4AAD6183" w:rsidR="004E7D86" w:rsidRPr="00A60E37" w:rsidRDefault="00A60E37" w:rsidP="004F64E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0,23</w:t>
            </w:r>
            <w:r w:rsidR="004571B3">
              <w:rPr>
                <w:rFonts w:ascii="gobCL" w:hAnsi="gobCL"/>
                <w:color w:val="000000"/>
                <w:sz w:val="20"/>
                <w:szCs w:val="20"/>
              </w:rPr>
              <w:t>4</w:t>
            </w:r>
          </w:p>
        </w:tc>
      </w:tr>
    </w:tbl>
    <w:p w14:paraId="3723C65E" w14:textId="263CB292" w:rsidR="008325C6" w:rsidRDefault="008325C6" w:rsidP="008325C6">
      <w:pPr>
        <w:pStyle w:val="Textoindependiente"/>
        <w:rPr>
          <w:rFonts w:ascii="gobCL" w:hAnsi="gobCL"/>
          <w:bCs/>
          <w:sz w:val="22"/>
          <w:szCs w:val="22"/>
        </w:rPr>
      </w:pPr>
    </w:p>
    <w:p w14:paraId="019B6110" w14:textId="77777777" w:rsidR="007F17BF" w:rsidRPr="00ED6E30" w:rsidRDefault="007F17BF" w:rsidP="008325C6">
      <w:pPr>
        <w:pStyle w:val="Textoindependiente"/>
        <w:rPr>
          <w:rFonts w:ascii="gobCL" w:hAnsi="gobCL"/>
          <w:bCs/>
          <w:sz w:val="22"/>
          <w:szCs w:val="22"/>
        </w:rPr>
      </w:pPr>
    </w:p>
    <w:p w14:paraId="557CE4F7" w14:textId="3EFF7AAA" w:rsidR="00733905" w:rsidRPr="0067582B" w:rsidRDefault="004E7D86" w:rsidP="00733905">
      <w:pPr>
        <w:pStyle w:val="Textoindependiente"/>
        <w:numPr>
          <w:ilvl w:val="0"/>
          <w:numId w:val="41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b/>
          <w:bCs/>
          <w:sz w:val="22"/>
          <w:szCs w:val="22"/>
        </w:rPr>
        <w:t xml:space="preserve">Langostino colorado </w:t>
      </w:r>
      <w:proofErr w:type="spellStart"/>
      <w:r>
        <w:rPr>
          <w:rFonts w:ascii="gobCL" w:hAnsi="gobCL"/>
          <w:b/>
          <w:bCs/>
          <w:sz w:val="22"/>
          <w:szCs w:val="22"/>
        </w:rPr>
        <w:t>Ayp</w:t>
      </w:r>
      <w:proofErr w:type="spellEnd"/>
      <w:r>
        <w:rPr>
          <w:rFonts w:ascii="gobCL" w:hAnsi="gobCL"/>
          <w:b/>
          <w:bCs/>
          <w:sz w:val="22"/>
          <w:szCs w:val="22"/>
        </w:rPr>
        <w:t xml:space="preserve"> a COQ</w:t>
      </w:r>
    </w:p>
    <w:p w14:paraId="3368C9B3" w14:textId="77777777" w:rsidR="00733905" w:rsidRPr="0067582B" w:rsidRDefault="00733905" w:rsidP="00733905">
      <w:pPr>
        <w:pStyle w:val="Textoindependiente"/>
        <w:rPr>
          <w:rFonts w:ascii="gobCL" w:hAnsi="gobCL"/>
          <w:bCs/>
          <w:sz w:val="22"/>
          <w:szCs w:val="22"/>
        </w:rPr>
      </w:pPr>
    </w:p>
    <w:p w14:paraId="560EA188" w14:textId="1F833CCF" w:rsidR="00733905" w:rsidRPr="0067582B" w:rsidRDefault="00733905" w:rsidP="00733905">
      <w:pPr>
        <w:pStyle w:val="Textoindependiente"/>
        <w:rPr>
          <w:rFonts w:ascii="gobCL" w:hAnsi="gobCL"/>
          <w:bCs/>
          <w:sz w:val="22"/>
          <w:szCs w:val="22"/>
        </w:rPr>
      </w:pPr>
      <w:r w:rsidRPr="0067582B">
        <w:rPr>
          <w:rFonts w:ascii="gobCL" w:hAnsi="gobCL"/>
          <w:bCs/>
          <w:sz w:val="22"/>
          <w:szCs w:val="22"/>
        </w:rPr>
        <w:t xml:space="preserve">Por otra parte, se calculó el monto de garantía de seriedad de la oferta para </w:t>
      </w:r>
      <w:r w:rsidR="004E7D86">
        <w:rPr>
          <w:rFonts w:ascii="gobCL" w:hAnsi="gobCL"/>
          <w:bCs/>
          <w:sz w:val="22"/>
          <w:szCs w:val="22"/>
          <w:u w:val="single"/>
        </w:rPr>
        <w:t xml:space="preserve">langostino colorado </w:t>
      </w:r>
      <w:proofErr w:type="spellStart"/>
      <w:r w:rsidR="004E7D86">
        <w:rPr>
          <w:rFonts w:ascii="gobCL" w:hAnsi="gobCL"/>
          <w:bCs/>
          <w:sz w:val="22"/>
          <w:szCs w:val="22"/>
          <w:u w:val="single"/>
        </w:rPr>
        <w:t>AyP</w:t>
      </w:r>
      <w:proofErr w:type="spellEnd"/>
      <w:r w:rsidR="004E7D86">
        <w:rPr>
          <w:rFonts w:ascii="gobCL" w:hAnsi="gobCL"/>
          <w:bCs/>
          <w:sz w:val="22"/>
          <w:szCs w:val="22"/>
          <w:u w:val="single"/>
        </w:rPr>
        <w:t>-COQ</w:t>
      </w:r>
      <w:r w:rsidRPr="0067582B">
        <w:rPr>
          <w:rFonts w:ascii="gobCL" w:hAnsi="gobCL"/>
          <w:bCs/>
          <w:sz w:val="22"/>
          <w:szCs w:val="22"/>
        </w:rPr>
        <w:t xml:space="preserve"> de la siguiente manera: </w:t>
      </w:r>
    </w:p>
    <w:p w14:paraId="0A57BF84" w14:textId="5A6D454C" w:rsidR="00733905" w:rsidRPr="00ED6E30" w:rsidRDefault="00733905" w:rsidP="00733905">
      <w:pPr>
        <w:pStyle w:val="Textoindependiente"/>
        <w:rPr>
          <w:rFonts w:ascii="gobCL" w:hAnsi="gobCL"/>
          <w:bCs/>
          <w:sz w:val="22"/>
          <w:szCs w:val="22"/>
        </w:rPr>
      </w:pPr>
      <w:r w:rsidRPr="0067582B">
        <w:rPr>
          <w:rFonts w:ascii="gobCL" w:hAnsi="gobCL"/>
          <w:bCs/>
          <w:sz w:val="22"/>
          <w:szCs w:val="22"/>
        </w:rPr>
        <w:t xml:space="preserve">Monto Garantía = (Toneladas a subastar) * (VS </w:t>
      </w:r>
      <w:proofErr w:type="spellStart"/>
      <w:proofErr w:type="gramStart"/>
      <w:r w:rsidR="004E7D86">
        <w:rPr>
          <w:rFonts w:ascii="gobCL" w:hAnsi="gobCL"/>
          <w:bCs/>
          <w:sz w:val="22"/>
          <w:szCs w:val="22"/>
          <w:vertAlign w:val="subscript"/>
        </w:rPr>
        <w:t>L.colorado</w:t>
      </w:r>
      <w:proofErr w:type="spellEnd"/>
      <w:proofErr w:type="gramEnd"/>
      <w:r w:rsidRPr="0067582B">
        <w:rPr>
          <w:rFonts w:ascii="gobCL" w:hAnsi="gobCL"/>
          <w:bCs/>
          <w:sz w:val="22"/>
          <w:szCs w:val="22"/>
        </w:rPr>
        <w:t>) * (UTM) * (1/12)</w:t>
      </w:r>
    </w:p>
    <w:p w14:paraId="635AEE03" w14:textId="77777777" w:rsidR="00733905" w:rsidRPr="00ED6E30" w:rsidRDefault="00733905" w:rsidP="00733905">
      <w:pPr>
        <w:pStyle w:val="Textoindependiente"/>
        <w:rPr>
          <w:rFonts w:ascii="gobCL" w:hAnsi="gobCL"/>
          <w:bCs/>
          <w:sz w:val="22"/>
          <w:szCs w:val="22"/>
        </w:rPr>
      </w:pPr>
    </w:p>
    <w:p w14:paraId="3269D8BC" w14:textId="77777777" w:rsidR="00733905" w:rsidRPr="00ED6E30" w:rsidRDefault="00733905" w:rsidP="00733905">
      <w:pPr>
        <w:pStyle w:val="Textoindependiente"/>
        <w:ind w:firstLine="360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>Dónde:</w:t>
      </w:r>
    </w:p>
    <w:p w14:paraId="21AC7080" w14:textId="399D27A4" w:rsidR="00733905" w:rsidRPr="00ED6E30" w:rsidRDefault="00733905" w:rsidP="00733905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ED6E30">
        <w:rPr>
          <w:rFonts w:ascii="gobCL" w:hAnsi="gobCL"/>
          <w:sz w:val="22"/>
          <w:szCs w:val="22"/>
          <w:lang w:val="es-CL"/>
        </w:rPr>
        <w:t xml:space="preserve">Las toneladas por subastar corresponden a un lote de </w:t>
      </w:r>
      <w:r w:rsidR="004E7D86">
        <w:rPr>
          <w:rFonts w:ascii="gobCL" w:hAnsi="gobCL"/>
          <w:sz w:val="22"/>
          <w:szCs w:val="22"/>
          <w:lang w:val="es-CL"/>
        </w:rPr>
        <w:t>coeficiente de participación</w:t>
      </w:r>
      <w:r w:rsidRPr="00ED6E30">
        <w:rPr>
          <w:rFonts w:ascii="gobCL" w:hAnsi="gobCL"/>
          <w:sz w:val="22"/>
          <w:szCs w:val="22"/>
          <w:lang w:val="es-CL"/>
        </w:rPr>
        <w:t xml:space="preserve"> de</w:t>
      </w:r>
      <w:r w:rsidR="004E7D86">
        <w:rPr>
          <w:rFonts w:ascii="gobCL" w:hAnsi="gobCL"/>
          <w:sz w:val="22"/>
          <w:szCs w:val="22"/>
          <w:lang w:val="es-CL"/>
        </w:rPr>
        <w:t xml:space="preserve"> 0,0004700 de</w:t>
      </w:r>
      <w:r w:rsidRPr="00ED6E30">
        <w:rPr>
          <w:rFonts w:ascii="gobCL" w:hAnsi="gobCL"/>
          <w:sz w:val="22"/>
          <w:szCs w:val="22"/>
          <w:lang w:val="es-CL"/>
        </w:rPr>
        <w:t xml:space="preserve"> </w:t>
      </w:r>
      <w:r w:rsidR="00E548CF" w:rsidRPr="00E548CF">
        <w:rPr>
          <w:rFonts w:ascii="gobCL" w:hAnsi="gobCL"/>
          <w:sz w:val="22"/>
          <w:szCs w:val="22"/>
          <w:lang w:val="es-CL"/>
        </w:rPr>
        <w:t>0,191</w:t>
      </w:r>
      <w:r w:rsidRPr="00E548CF">
        <w:rPr>
          <w:rFonts w:ascii="gobCL" w:hAnsi="gobCL"/>
          <w:sz w:val="22"/>
          <w:szCs w:val="22"/>
          <w:lang w:val="es-CL"/>
        </w:rPr>
        <w:t xml:space="preserve"> toneladas</w:t>
      </w:r>
      <w:r w:rsidRPr="00ED6E30">
        <w:rPr>
          <w:rFonts w:ascii="gobCL" w:hAnsi="gobCL"/>
          <w:sz w:val="22"/>
          <w:szCs w:val="22"/>
          <w:lang w:val="es-CL"/>
        </w:rPr>
        <w:t xml:space="preserve"> </w:t>
      </w:r>
    </w:p>
    <w:p w14:paraId="687C923C" w14:textId="77777777" w:rsidR="00E548CF" w:rsidRDefault="00733905" w:rsidP="001D4B0E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E548CF">
        <w:rPr>
          <w:rFonts w:ascii="gobCL" w:hAnsi="gobCL"/>
          <w:sz w:val="22"/>
          <w:szCs w:val="22"/>
        </w:rPr>
        <w:t xml:space="preserve">Valor sanción vigente (D. Ex. </w:t>
      </w:r>
      <w:proofErr w:type="spellStart"/>
      <w:r w:rsidRPr="00E548CF">
        <w:rPr>
          <w:rFonts w:ascii="gobCL" w:hAnsi="gobCL"/>
          <w:sz w:val="22"/>
          <w:szCs w:val="22"/>
        </w:rPr>
        <w:t>Nº</w:t>
      </w:r>
      <w:proofErr w:type="spellEnd"/>
      <w:r w:rsidRPr="00E548CF">
        <w:rPr>
          <w:rFonts w:ascii="gobCL" w:hAnsi="gobCL"/>
          <w:sz w:val="22"/>
          <w:szCs w:val="22"/>
        </w:rPr>
        <w:t xml:space="preserve"> </w:t>
      </w:r>
      <w:r w:rsidR="004E7D86" w:rsidRPr="00E548CF">
        <w:rPr>
          <w:rFonts w:ascii="gobCL" w:hAnsi="gobCL"/>
          <w:sz w:val="22"/>
          <w:szCs w:val="22"/>
        </w:rPr>
        <w:t>147</w:t>
      </w:r>
      <w:r w:rsidRPr="00E548CF">
        <w:rPr>
          <w:rFonts w:ascii="gobCL" w:hAnsi="gobCL"/>
          <w:sz w:val="22"/>
          <w:szCs w:val="22"/>
        </w:rPr>
        <w:t>/202</w:t>
      </w:r>
      <w:r w:rsidR="004E7D86" w:rsidRPr="00E548CF">
        <w:rPr>
          <w:rFonts w:ascii="gobCL" w:hAnsi="gobCL"/>
          <w:sz w:val="22"/>
          <w:szCs w:val="22"/>
        </w:rPr>
        <w:t>3</w:t>
      </w:r>
      <w:r w:rsidRPr="00E548CF">
        <w:rPr>
          <w:rFonts w:ascii="gobCL" w:hAnsi="gobCL"/>
          <w:sz w:val="22"/>
          <w:szCs w:val="22"/>
        </w:rPr>
        <w:t xml:space="preserve">) para </w:t>
      </w:r>
      <w:r w:rsidR="004E7D86" w:rsidRPr="00E548CF">
        <w:rPr>
          <w:rFonts w:ascii="gobCL" w:hAnsi="gobCL"/>
          <w:sz w:val="22"/>
          <w:szCs w:val="22"/>
        </w:rPr>
        <w:t>langostino colorado</w:t>
      </w:r>
      <w:r w:rsidRPr="00E548CF">
        <w:rPr>
          <w:rFonts w:ascii="gobCL" w:hAnsi="gobCL"/>
          <w:sz w:val="22"/>
          <w:szCs w:val="22"/>
        </w:rPr>
        <w:t xml:space="preserve"> es de </w:t>
      </w:r>
      <w:r w:rsidR="004E7D86" w:rsidRPr="00E548CF">
        <w:rPr>
          <w:rFonts w:ascii="gobCL" w:hAnsi="gobCL"/>
          <w:sz w:val="22"/>
          <w:szCs w:val="22"/>
        </w:rPr>
        <w:t>41,4</w:t>
      </w:r>
      <w:r w:rsidRPr="00E548CF">
        <w:rPr>
          <w:rFonts w:ascii="gobCL" w:hAnsi="gobCL"/>
          <w:sz w:val="22"/>
          <w:szCs w:val="22"/>
        </w:rPr>
        <w:t xml:space="preserve"> UTM/t, considerando el valor de UTM = </w:t>
      </w:r>
      <w:r w:rsidR="00E548CF" w:rsidRPr="00E548CF">
        <w:rPr>
          <w:rFonts w:ascii="gobCL" w:hAnsi="gobCL"/>
          <w:sz w:val="22"/>
          <w:szCs w:val="22"/>
        </w:rPr>
        <w:t>$66.628 del mes de noviembre del año 2024, según SII.</w:t>
      </w:r>
    </w:p>
    <w:p w14:paraId="04712542" w14:textId="630596F1" w:rsidR="00733905" w:rsidRPr="00E548CF" w:rsidRDefault="00733905" w:rsidP="001D4B0E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E548CF">
        <w:rPr>
          <w:rFonts w:ascii="gobCL" w:hAnsi="gobCL"/>
          <w:sz w:val="22"/>
          <w:szCs w:val="22"/>
        </w:rPr>
        <w:t>Coeficiente (1/12), correspondiente a la fracción de un mes que se mantendrá la vigencia de la garantía.</w:t>
      </w:r>
    </w:p>
    <w:p w14:paraId="03AF0576" w14:textId="77777777" w:rsidR="00733905" w:rsidRPr="00ED6E30" w:rsidRDefault="00733905" w:rsidP="00733905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sz w:val="22"/>
          <w:szCs w:val="22"/>
        </w:rPr>
        <w:t>Aproximado</w:t>
      </w:r>
      <w:r w:rsidRPr="00ED6E30">
        <w:rPr>
          <w:rFonts w:ascii="gobCL" w:hAnsi="gobCL"/>
          <w:sz w:val="22"/>
          <w:szCs w:val="22"/>
          <w:lang w:val="es-CL"/>
        </w:rPr>
        <w:t xml:space="preserve"> al segundo decimal </w:t>
      </w:r>
      <w:proofErr w:type="gramStart"/>
      <w:r w:rsidRPr="00ED6E30">
        <w:rPr>
          <w:rFonts w:ascii="gobCL" w:hAnsi="gobCL"/>
          <w:sz w:val="22"/>
          <w:szCs w:val="22"/>
          <w:lang w:val="es-CL"/>
        </w:rPr>
        <w:t>de acuerdo a</w:t>
      </w:r>
      <w:proofErr w:type="gramEnd"/>
      <w:r w:rsidRPr="00ED6E30">
        <w:rPr>
          <w:rFonts w:ascii="gobCL" w:hAnsi="gobCL"/>
          <w:sz w:val="22"/>
          <w:szCs w:val="22"/>
          <w:lang w:val="es-CL"/>
        </w:rPr>
        <w:t xml:space="preserve"> Ley del Redondeo, Ley 20.956.</w:t>
      </w:r>
    </w:p>
    <w:p w14:paraId="6C7120FC" w14:textId="77777777" w:rsidR="00733905" w:rsidRPr="00ED6E30" w:rsidRDefault="00733905" w:rsidP="00733905">
      <w:pPr>
        <w:pStyle w:val="Textoindependiente"/>
        <w:rPr>
          <w:rFonts w:ascii="gobCL" w:hAnsi="gobCL"/>
          <w:bCs/>
          <w:sz w:val="22"/>
          <w:szCs w:val="22"/>
        </w:rPr>
      </w:pPr>
    </w:p>
    <w:p w14:paraId="4B0B4853" w14:textId="45194353" w:rsidR="00733905" w:rsidRPr="00ED6E30" w:rsidRDefault="00733905" w:rsidP="00733905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lastRenderedPageBreak/>
        <w:t xml:space="preserve">Luego, los montos de garantía de seriedad de la oferta, expresados en pesos y en unidad tributaria mensual (UTM) de acuerdo con los cortes (%) fijos para jurel se presentan en la Tabla </w:t>
      </w:r>
      <w:r w:rsidR="00D0570D">
        <w:rPr>
          <w:rFonts w:ascii="gobCL" w:hAnsi="gobCL"/>
          <w:bCs/>
          <w:sz w:val="22"/>
          <w:szCs w:val="22"/>
        </w:rPr>
        <w:t>8</w:t>
      </w:r>
      <w:r w:rsidRPr="00ED6E30">
        <w:rPr>
          <w:rFonts w:ascii="gobCL" w:hAnsi="gobCL"/>
          <w:bCs/>
          <w:sz w:val="22"/>
          <w:szCs w:val="22"/>
        </w:rPr>
        <w:t>.</w:t>
      </w:r>
    </w:p>
    <w:p w14:paraId="0AE27DD5" w14:textId="77777777" w:rsidR="00733905" w:rsidRPr="00ED6E30" w:rsidRDefault="00733905" w:rsidP="00733905">
      <w:pPr>
        <w:pStyle w:val="Textoindependiente"/>
        <w:jc w:val="center"/>
        <w:rPr>
          <w:rFonts w:ascii="gobCL" w:hAnsi="gobCL"/>
          <w:sz w:val="22"/>
          <w:szCs w:val="22"/>
        </w:rPr>
      </w:pPr>
    </w:p>
    <w:p w14:paraId="2E021A83" w14:textId="16E154D4" w:rsidR="00733905" w:rsidRPr="00DA1F8F" w:rsidRDefault="00733905" w:rsidP="00733905">
      <w:pPr>
        <w:pStyle w:val="Textoindependiente"/>
        <w:jc w:val="center"/>
        <w:rPr>
          <w:rFonts w:ascii="gobCL" w:hAnsi="gobCL"/>
          <w:szCs w:val="20"/>
        </w:rPr>
      </w:pPr>
      <w:r w:rsidRPr="00DA1F8F">
        <w:rPr>
          <w:rFonts w:ascii="gobCL" w:hAnsi="gobCL"/>
          <w:szCs w:val="20"/>
        </w:rPr>
        <w:t xml:space="preserve">Tabla </w:t>
      </w:r>
      <w:r w:rsidR="00D0570D">
        <w:rPr>
          <w:rFonts w:ascii="gobCL" w:hAnsi="gobCL"/>
          <w:szCs w:val="20"/>
        </w:rPr>
        <w:t>8</w:t>
      </w:r>
      <w:r w:rsidRPr="00DA1F8F">
        <w:rPr>
          <w:rFonts w:ascii="gobCL" w:hAnsi="gobCL"/>
          <w:szCs w:val="20"/>
        </w:rPr>
        <w:t xml:space="preserve">. Montos de garantía de seriedad de la oferta (UTM) </w:t>
      </w:r>
      <w:r w:rsidR="004E7D86">
        <w:rPr>
          <w:rFonts w:ascii="gobCL" w:hAnsi="gobCL"/>
          <w:szCs w:val="20"/>
        </w:rPr>
        <w:t xml:space="preserve">langostino colorado </w:t>
      </w:r>
      <w:proofErr w:type="spellStart"/>
      <w:r w:rsidR="004E7D86">
        <w:rPr>
          <w:rFonts w:ascii="gobCL" w:hAnsi="gobCL"/>
          <w:szCs w:val="20"/>
        </w:rPr>
        <w:t>AyP</w:t>
      </w:r>
      <w:proofErr w:type="spellEnd"/>
      <w:r w:rsidR="004E7D86">
        <w:rPr>
          <w:rFonts w:ascii="gobCL" w:hAnsi="gobCL"/>
          <w:szCs w:val="20"/>
        </w:rPr>
        <w:t>-COQ</w:t>
      </w:r>
      <w:r w:rsidRPr="00DA1F8F">
        <w:rPr>
          <w:rFonts w:ascii="gobCL" w:hAnsi="gobCL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702"/>
        <w:gridCol w:w="1233"/>
        <w:gridCol w:w="1516"/>
      </w:tblGrid>
      <w:tr w:rsidR="00A77E84" w:rsidRPr="00DA1F8F" w14:paraId="205DA318" w14:textId="77777777" w:rsidTr="007F2569">
        <w:trPr>
          <w:trHeight w:val="300"/>
          <w:jc w:val="center"/>
        </w:trPr>
        <w:tc>
          <w:tcPr>
            <w:tcW w:w="0" w:type="auto"/>
            <w:shd w:val="clear" w:color="000000" w:fill="FFFFFF"/>
          </w:tcPr>
          <w:p w14:paraId="16E74055" w14:textId="78FC3FCE" w:rsidR="00A77E84" w:rsidRPr="00DA1F8F" w:rsidRDefault="00B3626A" w:rsidP="007F256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5157D5E" w14:textId="6529401B" w:rsidR="00A77E84" w:rsidRPr="00DA1F8F" w:rsidRDefault="00A77E84" w:rsidP="007F256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 xml:space="preserve">Tamaño del lote </w:t>
            </w:r>
            <w:r w:rsidR="00B3626A">
              <w:rPr>
                <w:rFonts w:ascii="gobCL" w:hAnsi="gobCL"/>
                <w:bCs/>
                <w:color w:val="000000"/>
                <w:sz w:val="20"/>
                <w:szCs w:val="20"/>
              </w:rPr>
              <w:t>(t)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77505E" w14:textId="77777777" w:rsidR="00A77E84" w:rsidRPr="00DA1F8F" w:rsidRDefault="00A77E84" w:rsidP="007F256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>Garantía en $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0532274" w14:textId="77777777" w:rsidR="00A77E84" w:rsidRPr="00DA1F8F" w:rsidRDefault="00A77E84" w:rsidP="007F2569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>Garantía en UTM</w:t>
            </w:r>
          </w:p>
        </w:tc>
      </w:tr>
      <w:tr w:rsidR="00A77E84" w:rsidRPr="00DA1F8F" w14:paraId="7168F8C9" w14:textId="77777777" w:rsidTr="007F2569">
        <w:trPr>
          <w:trHeight w:val="300"/>
          <w:jc w:val="center"/>
        </w:trPr>
        <w:tc>
          <w:tcPr>
            <w:tcW w:w="0" w:type="auto"/>
          </w:tcPr>
          <w:p w14:paraId="2EA9F1AA" w14:textId="293C6363" w:rsidR="00A77E84" w:rsidRPr="00DA1F8F" w:rsidRDefault="00B3626A" w:rsidP="007F256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B3626A">
              <w:rPr>
                <w:rFonts w:ascii="gobCL" w:hAnsi="gobCL"/>
                <w:bCs/>
                <w:color w:val="000000"/>
                <w:sz w:val="20"/>
                <w:szCs w:val="20"/>
              </w:rPr>
              <w:t>0,000</w:t>
            </w:r>
            <w:r w:rsidR="004E7D86">
              <w:rPr>
                <w:rFonts w:ascii="gobCL" w:hAnsi="gobCL"/>
                <w:bCs/>
                <w:color w:val="000000"/>
                <w:sz w:val="20"/>
                <w:szCs w:val="20"/>
              </w:rPr>
              <w:t>47</w:t>
            </w:r>
            <w:r w:rsidR="00584B05">
              <w:rPr>
                <w:rFonts w:ascii="gobCL" w:hAnsi="gobC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14:paraId="383914FD" w14:textId="36D6907B" w:rsidR="00A77E84" w:rsidRPr="00E548CF" w:rsidRDefault="00E548CF" w:rsidP="007F256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6F732" w14:textId="1502224E" w:rsidR="00A77E84" w:rsidRPr="00E548CF" w:rsidRDefault="0021067D" w:rsidP="007F2569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43.905</w:t>
            </w:r>
          </w:p>
        </w:tc>
        <w:tc>
          <w:tcPr>
            <w:tcW w:w="0" w:type="auto"/>
            <w:vAlign w:val="bottom"/>
          </w:tcPr>
          <w:p w14:paraId="37A5DF01" w14:textId="3ABC45D0" w:rsidR="00A77E84" w:rsidRPr="00E548CF" w:rsidRDefault="0021067D" w:rsidP="007F2569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0,658</w:t>
            </w:r>
          </w:p>
        </w:tc>
      </w:tr>
    </w:tbl>
    <w:p w14:paraId="39B58027" w14:textId="0A2B5F18" w:rsidR="00A0609F" w:rsidRDefault="00A0609F">
      <w:pPr>
        <w:pStyle w:val="Textoindependiente"/>
        <w:rPr>
          <w:rFonts w:ascii="gobCL" w:hAnsi="gobCL"/>
          <w:b/>
          <w:bCs/>
          <w:sz w:val="22"/>
          <w:szCs w:val="22"/>
          <w:u w:val="single"/>
        </w:rPr>
      </w:pPr>
    </w:p>
    <w:p w14:paraId="3CEBDF02" w14:textId="3FD71E8B" w:rsidR="00BD02EA" w:rsidRDefault="00BD02EA">
      <w:pPr>
        <w:pStyle w:val="Textoindependiente"/>
        <w:rPr>
          <w:rFonts w:ascii="gobCL" w:hAnsi="gobCL"/>
          <w:b/>
          <w:bCs/>
          <w:sz w:val="22"/>
          <w:szCs w:val="22"/>
          <w:u w:val="single"/>
        </w:rPr>
      </w:pPr>
    </w:p>
    <w:p w14:paraId="6D026EEB" w14:textId="0E69BEA3" w:rsidR="00967977" w:rsidRPr="0067582B" w:rsidRDefault="00967977" w:rsidP="00967977">
      <w:pPr>
        <w:pStyle w:val="Textoindependiente"/>
        <w:numPr>
          <w:ilvl w:val="0"/>
          <w:numId w:val="41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b/>
          <w:bCs/>
          <w:sz w:val="22"/>
          <w:szCs w:val="22"/>
        </w:rPr>
        <w:t>Merluza común COQ a paralelo 41°28,6’ L.S.</w:t>
      </w:r>
    </w:p>
    <w:p w14:paraId="11661380" w14:textId="77777777" w:rsidR="00967977" w:rsidRPr="0067582B" w:rsidRDefault="00967977" w:rsidP="00967977">
      <w:pPr>
        <w:pStyle w:val="Textoindependiente"/>
        <w:rPr>
          <w:rFonts w:ascii="gobCL" w:hAnsi="gobCL"/>
          <w:bCs/>
          <w:sz w:val="22"/>
          <w:szCs w:val="22"/>
        </w:rPr>
      </w:pPr>
    </w:p>
    <w:p w14:paraId="1406DF28" w14:textId="31FD79D4" w:rsidR="00967977" w:rsidRPr="0067582B" w:rsidRDefault="00967977" w:rsidP="00967977">
      <w:pPr>
        <w:pStyle w:val="Textoindependiente"/>
        <w:rPr>
          <w:rFonts w:ascii="gobCL" w:hAnsi="gobCL"/>
          <w:bCs/>
          <w:sz w:val="22"/>
          <w:szCs w:val="22"/>
        </w:rPr>
      </w:pPr>
      <w:r w:rsidRPr="0067582B">
        <w:rPr>
          <w:rFonts w:ascii="gobCL" w:hAnsi="gobCL"/>
          <w:bCs/>
          <w:sz w:val="22"/>
          <w:szCs w:val="22"/>
        </w:rPr>
        <w:t xml:space="preserve">Por otra parte, se calculó el monto de garantía de seriedad de la oferta para </w:t>
      </w:r>
      <w:r>
        <w:rPr>
          <w:rFonts w:ascii="gobCL" w:hAnsi="gobCL"/>
          <w:bCs/>
          <w:sz w:val="22"/>
          <w:szCs w:val="22"/>
          <w:u w:val="single"/>
        </w:rPr>
        <w:t>merluza común COQ-41°28,6’ L.S</w:t>
      </w:r>
      <w:r w:rsidRPr="0067582B">
        <w:rPr>
          <w:rFonts w:ascii="gobCL" w:hAnsi="gobCL"/>
          <w:bCs/>
          <w:sz w:val="22"/>
          <w:szCs w:val="22"/>
        </w:rPr>
        <w:t xml:space="preserve"> de la siguiente manera: </w:t>
      </w:r>
    </w:p>
    <w:p w14:paraId="66ABCA36" w14:textId="7B0C6A09" w:rsidR="00967977" w:rsidRPr="00ED6E30" w:rsidRDefault="00967977" w:rsidP="00967977">
      <w:pPr>
        <w:pStyle w:val="Textoindependiente"/>
        <w:rPr>
          <w:rFonts w:ascii="gobCL" w:hAnsi="gobCL"/>
          <w:bCs/>
          <w:sz w:val="22"/>
          <w:szCs w:val="22"/>
        </w:rPr>
      </w:pPr>
      <w:r w:rsidRPr="0067582B">
        <w:rPr>
          <w:rFonts w:ascii="gobCL" w:hAnsi="gobCL"/>
          <w:bCs/>
          <w:sz w:val="22"/>
          <w:szCs w:val="22"/>
        </w:rPr>
        <w:t xml:space="preserve">Monto Garantía = (Toneladas a subastar) * (VS </w:t>
      </w:r>
      <w:proofErr w:type="spellStart"/>
      <w:proofErr w:type="gramStart"/>
      <w:r>
        <w:rPr>
          <w:rFonts w:ascii="gobCL" w:hAnsi="gobCL"/>
          <w:bCs/>
          <w:sz w:val="22"/>
          <w:szCs w:val="22"/>
          <w:vertAlign w:val="subscript"/>
        </w:rPr>
        <w:t>M.común</w:t>
      </w:r>
      <w:proofErr w:type="spellEnd"/>
      <w:proofErr w:type="gramEnd"/>
      <w:r w:rsidRPr="0067582B">
        <w:rPr>
          <w:rFonts w:ascii="gobCL" w:hAnsi="gobCL"/>
          <w:bCs/>
          <w:sz w:val="22"/>
          <w:szCs w:val="22"/>
        </w:rPr>
        <w:t>) * (UTM) * (1/12)</w:t>
      </w:r>
    </w:p>
    <w:p w14:paraId="67795ACC" w14:textId="77777777" w:rsidR="00967977" w:rsidRPr="00ED6E30" w:rsidRDefault="00967977" w:rsidP="00967977">
      <w:pPr>
        <w:pStyle w:val="Textoindependiente"/>
        <w:rPr>
          <w:rFonts w:ascii="gobCL" w:hAnsi="gobCL"/>
          <w:bCs/>
          <w:sz w:val="22"/>
          <w:szCs w:val="22"/>
        </w:rPr>
      </w:pPr>
    </w:p>
    <w:p w14:paraId="359D3481" w14:textId="77777777" w:rsidR="00967977" w:rsidRPr="00ED6E30" w:rsidRDefault="00967977" w:rsidP="00967977">
      <w:pPr>
        <w:pStyle w:val="Textoindependiente"/>
        <w:ind w:firstLine="360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>Dónde:</w:t>
      </w:r>
    </w:p>
    <w:p w14:paraId="6AF3FE05" w14:textId="26D1C53D" w:rsidR="00967977" w:rsidRPr="002A226B" w:rsidRDefault="00967977" w:rsidP="00967977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2A226B">
        <w:rPr>
          <w:rFonts w:ascii="gobCL" w:hAnsi="gobCL"/>
          <w:sz w:val="22"/>
          <w:szCs w:val="22"/>
          <w:lang w:val="es-CL"/>
        </w:rPr>
        <w:t xml:space="preserve">Las toneladas por subastar corresponden a un lote de coeficiente de participación de </w:t>
      </w:r>
      <w:r w:rsidR="004571B3" w:rsidRPr="004571B3">
        <w:rPr>
          <w:rFonts w:ascii="gobCL" w:hAnsi="gobCL"/>
          <w:sz w:val="22"/>
          <w:szCs w:val="22"/>
          <w:lang w:val="es-CL"/>
        </w:rPr>
        <w:t>0,0000179</w:t>
      </w:r>
      <w:r w:rsidR="004571B3">
        <w:rPr>
          <w:rFonts w:ascii="gobCL" w:hAnsi="gobCL"/>
          <w:sz w:val="22"/>
          <w:szCs w:val="22"/>
          <w:lang w:val="es-CL"/>
        </w:rPr>
        <w:t xml:space="preserve"> </w:t>
      </w:r>
      <w:r w:rsidRPr="002A226B">
        <w:rPr>
          <w:rFonts w:ascii="gobCL" w:hAnsi="gobCL"/>
          <w:sz w:val="22"/>
          <w:szCs w:val="22"/>
          <w:lang w:val="es-CL"/>
        </w:rPr>
        <w:t>de 0,</w:t>
      </w:r>
      <w:r w:rsidR="002A226B">
        <w:rPr>
          <w:rFonts w:ascii="gobCL" w:hAnsi="gobCL"/>
          <w:sz w:val="22"/>
          <w:szCs w:val="22"/>
          <w:lang w:val="es-CL"/>
        </w:rPr>
        <w:t>369</w:t>
      </w:r>
      <w:r w:rsidRPr="002A226B">
        <w:rPr>
          <w:rFonts w:ascii="gobCL" w:hAnsi="gobCL"/>
          <w:sz w:val="22"/>
          <w:szCs w:val="22"/>
          <w:lang w:val="es-CL"/>
        </w:rPr>
        <w:t xml:space="preserve"> toneladas </w:t>
      </w:r>
    </w:p>
    <w:p w14:paraId="2D64F8C2" w14:textId="1E92A347" w:rsidR="00967977" w:rsidRPr="002A226B" w:rsidRDefault="00967977" w:rsidP="00967977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2A226B">
        <w:rPr>
          <w:rFonts w:ascii="gobCL" w:hAnsi="gobCL"/>
          <w:sz w:val="22"/>
          <w:szCs w:val="22"/>
        </w:rPr>
        <w:t xml:space="preserve">Valor sanción vigente (D. Ex. </w:t>
      </w:r>
      <w:proofErr w:type="spellStart"/>
      <w:r w:rsidRPr="002A226B">
        <w:rPr>
          <w:rFonts w:ascii="gobCL" w:hAnsi="gobCL"/>
          <w:sz w:val="22"/>
          <w:szCs w:val="22"/>
        </w:rPr>
        <w:t>Nº</w:t>
      </w:r>
      <w:proofErr w:type="spellEnd"/>
      <w:r w:rsidRPr="002A226B">
        <w:rPr>
          <w:rFonts w:ascii="gobCL" w:hAnsi="gobCL"/>
          <w:sz w:val="22"/>
          <w:szCs w:val="22"/>
        </w:rPr>
        <w:t xml:space="preserve"> 147/2023) para merluza común es de </w:t>
      </w:r>
      <w:r w:rsidR="002A226B">
        <w:rPr>
          <w:rFonts w:ascii="gobCL" w:hAnsi="gobCL"/>
          <w:sz w:val="22"/>
          <w:szCs w:val="22"/>
        </w:rPr>
        <w:t>21</w:t>
      </w:r>
      <w:r w:rsidRPr="002A226B">
        <w:rPr>
          <w:rFonts w:ascii="gobCL" w:hAnsi="gobCL"/>
          <w:sz w:val="22"/>
          <w:szCs w:val="22"/>
        </w:rPr>
        <w:t>,</w:t>
      </w:r>
      <w:r w:rsidR="002A226B">
        <w:rPr>
          <w:rFonts w:ascii="gobCL" w:hAnsi="gobCL"/>
          <w:sz w:val="22"/>
          <w:szCs w:val="22"/>
        </w:rPr>
        <w:t>5</w:t>
      </w:r>
      <w:r w:rsidRPr="002A226B">
        <w:rPr>
          <w:rFonts w:ascii="gobCL" w:hAnsi="gobCL"/>
          <w:sz w:val="22"/>
          <w:szCs w:val="22"/>
        </w:rPr>
        <w:t xml:space="preserve"> UTM/t, considerando el valor de UTM = </w:t>
      </w:r>
      <w:r w:rsidR="002A226B" w:rsidRPr="002A226B">
        <w:rPr>
          <w:rFonts w:ascii="gobCL" w:hAnsi="gobCL"/>
          <w:sz w:val="22"/>
          <w:szCs w:val="22"/>
        </w:rPr>
        <w:t>$66.628 del mes de noviembre del año 2024</w:t>
      </w:r>
      <w:r w:rsidRPr="002A226B">
        <w:rPr>
          <w:rFonts w:ascii="gobCL" w:hAnsi="gobCL"/>
          <w:sz w:val="22"/>
          <w:szCs w:val="22"/>
        </w:rPr>
        <w:t>, según SII.</w:t>
      </w:r>
    </w:p>
    <w:p w14:paraId="15A7F688" w14:textId="77777777" w:rsidR="00967977" w:rsidRPr="002A226B" w:rsidRDefault="00967977" w:rsidP="00967977">
      <w:pPr>
        <w:pStyle w:val="Textonotapie"/>
        <w:numPr>
          <w:ilvl w:val="0"/>
          <w:numId w:val="41"/>
        </w:numPr>
        <w:jc w:val="both"/>
        <w:rPr>
          <w:rFonts w:ascii="gobCL" w:hAnsi="gobCL"/>
          <w:sz w:val="22"/>
          <w:szCs w:val="22"/>
        </w:rPr>
      </w:pPr>
      <w:r w:rsidRPr="002A226B">
        <w:rPr>
          <w:rFonts w:ascii="gobCL" w:hAnsi="gobCL"/>
          <w:sz w:val="22"/>
          <w:szCs w:val="22"/>
        </w:rPr>
        <w:t>Coeficiente (1/12), correspondiente a la fracción de un mes que se mantendrá la vigencia de la garantía.</w:t>
      </w:r>
    </w:p>
    <w:p w14:paraId="67A980E4" w14:textId="77777777" w:rsidR="00967977" w:rsidRPr="002A226B" w:rsidRDefault="00967977" w:rsidP="00967977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  <w:sz w:val="22"/>
          <w:szCs w:val="22"/>
        </w:rPr>
      </w:pPr>
      <w:r w:rsidRPr="002A226B">
        <w:rPr>
          <w:rFonts w:ascii="gobCL" w:hAnsi="gobCL"/>
          <w:sz w:val="22"/>
          <w:szCs w:val="22"/>
        </w:rPr>
        <w:t>Aproximado</w:t>
      </w:r>
      <w:r w:rsidRPr="002A226B">
        <w:rPr>
          <w:rFonts w:ascii="gobCL" w:hAnsi="gobCL"/>
          <w:sz w:val="22"/>
          <w:szCs w:val="22"/>
          <w:lang w:val="es-CL"/>
        </w:rPr>
        <w:t xml:space="preserve"> al segundo decimal </w:t>
      </w:r>
      <w:proofErr w:type="gramStart"/>
      <w:r w:rsidRPr="002A226B">
        <w:rPr>
          <w:rFonts w:ascii="gobCL" w:hAnsi="gobCL"/>
          <w:sz w:val="22"/>
          <w:szCs w:val="22"/>
          <w:lang w:val="es-CL"/>
        </w:rPr>
        <w:t>de acuerdo a</w:t>
      </w:r>
      <w:proofErr w:type="gramEnd"/>
      <w:r w:rsidRPr="002A226B">
        <w:rPr>
          <w:rFonts w:ascii="gobCL" w:hAnsi="gobCL"/>
          <w:sz w:val="22"/>
          <w:szCs w:val="22"/>
          <w:lang w:val="es-CL"/>
        </w:rPr>
        <w:t xml:space="preserve"> Ley del Redondeo, Ley 20.956.</w:t>
      </w:r>
    </w:p>
    <w:p w14:paraId="6CC2A196" w14:textId="77777777" w:rsidR="00967977" w:rsidRPr="00ED6E30" w:rsidRDefault="00967977" w:rsidP="00967977">
      <w:pPr>
        <w:pStyle w:val="Textoindependiente"/>
        <w:rPr>
          <w:rFonts w:ascii="gobCL" w:hAnsi="gobCL"/>
          <w:bCs/>
          <w:sz w:val="22"/>
          <w:szCs w:val="22"/>
        </w:rPr>
      </w:pPr>
    </w:p>
    <w:p w14:paraId="01BDF3E1" w14:textId="15E312F6" w:rsidR="00967977" w:rsidRPr="00ED6E30" w:rsidRDefault="00967977" w:rsidP="00967977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Luego, los montos de garantía de seriedad de la oferta, expresados en pesos y en unidad tributaria mensual (UTM) de acuerdo con los cortes (%) fijos para jurel se presentan en la Tabla </w:t>
      </w:r>
      <w:r w:rsidR="00D0570D">
        <w:rPr>
          <w:rFonts w:ascii="gobCL" w:hAnsi="gobCL"/>
          <w:bCs/>
          <w:sz w:val="22"/>
          <w:szCs w:val="22"/>
        </w:rPr>
        <w:t>9</w:t>
      </w:r>
      <w:r w:rsidRPr="00ED6E30">
        <w:rPr>
          <w:rFonts w:ascii="gobCL" w:hAnsi="gobCL"/>
          <w:bCs/>
          <w:sz w:val="22"/>
          <w:szCs w:val="22"/>
        </w:rPr>
        <w:t>.</w:t>
      </w:r>
    </w:p>
    <w:p w14:paraId="6F419FEE" w14:textId="77777777" w:rsidR="00967977" w:rsidRPr="00ED6E30" w:rsidRDefault="00967977" w:rsidP="00967977">
      <w:pPr>
        <w:pStyle w:val="Textoindependiente"/>
        <w:jc w:val="center"/>
        <w:rPr>
          <w:rFonts w:ascii="gobCL" w:hAnsi="gobCL"/>
          <w:sz w:val="22"/>
          <w:szCs w:val="22"/>
        </w:rPr>
      </w:pPr>
    </w:p>
    <w:p w14:paraId="43A15936" w14:textId="19555FD1" w:rsidR="00967977" w:rsidRPr="00DA1F8F" w:rsidRDefault="00967977" w:rsidP="00967977">
      <w:pPr>
        <w:pStyle w:val="Textoindependiente"/>
        <w:jc w:val="center"/>
        <w:rPr>
          <w:rFonts w:ascii="gobCL" w:hAnsi="gobCL"/>
          <w:szCs w:val="20"/>
        </w:rPr>
      </w:pPr>
      <w:r w:rsidRPr="00DA1F8F">
        <w:rPr>
          <w:rFonts w:ascii="gobCL" w:hAnsi="gobCL"/>
          <w:szCs w:val="20"/>
        </w:rPr>
        <w:t xml:space="preserve">Tabla </w:t>
      </w:r>
      <w:r w:rsidR="00D0570D">
        <w:rPr>
          <w:rFonts w:ascii="gobCL" w:hAnsi="gobCL"/>
          <w:szCs w:val="20"/>
        </w:rPr>
        <w:t>9</w:t>
      </w:r>
      <w:r w:rsidRPr="00DA1F8F">
        <w:rPr>
          <w:rFonts w:ascii="gobCL" w:hAnsi="gobCL"/>
          <w:szCs w:val="20"/>
        </w:rPr>
        <w:t xml:space="preserve">. Montos de garantía de seriedad de la oferta (UTM) </w:t>
      </w:r>
      <w:r>
        <w:rPr>
          <w:rFonts w:ascii="gobCL" w:hAnsi="gobCL"/>
          <w:szCs w:val="20"/>
        </w:rPr>
        <w:t xml:space="preserve">langostino colorado </w:t>
      </w:r>
      <w:proofErr w:type="spellStart"/>
      <w:r>
        <w:rPr>
          <w:rFonts w:ascii="gobCL" w:hAnsi="gobCL"/>
          <w:szCs w:val="20"/>
        </w:rPr>
        <w:t>AyP</w:t>
      </w:r>
      <w:proofErr w:type="spellEnd"/>
      <w:r>
        <w:rPr>
          <w:rFonts w:ascii="gobCL" w:hAnsi="gobCL"/>
          <w:szCs w:val="20"/>
        </w:rPr>
        <w:t>-COQ</w:t>
      </w:r>
      <w:r w:rsidRPr="00DA1F8F">
        <w:rPr>
          <w:rFonts w:ascii="gobCL" w:hAnsi="gobCL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702"/>
        <w:gridCol w:w="1233"/>
        <w:gridCol w:w="1516"/>
      </w:tblGrid>
      <w:tr w:rsidR="00967977" w:rsidRPr="00DA1F8F" w14:paraId="7E591794" w14:textId="77777777" w:rsidTr="00CB12A9">
        <w:trPr>
          <w:trHeight w:val="300"/>
          <w:jc w:val="center"/>
        </w:trPr>
        <w:tc>
          <w:tcPr>
            <w:tcW w:w="0" w:type="auto"/>
            <w:shd w:val="clear" w:color="000000" w:fill="FFFFFF"/>
          </w:tcPr>
          <w:p w14:paraId="1FE83ED1" w14:textId="77777777" w:rsidR="00967977" w:rsidRPr="00DA1F8F" w:rsidRDefault="00967977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20"/>
                <w:szCs w:val="20"/>
              </w:rPr>
              <w:t>Coeficiente de participación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BBE955E" w14:textId="77777777" w:rsidR="00967977" w:rsidRPr="00DA1F8F" w:rsidRDefault="00967977" w:rsidP="00CB12A9">
            <w:pPr>
              <w:jc w:val="center"/>
              <w:rPr>
                <w:rFonts w:ascii="gobCL" w:hAnsi="gobCL"/>
                <w:bCs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 xml:space="preserve">Tamaño del lote </w:t>
            </w:r>
            <w:r>
              <w:rPr>
                <w:rFonts w:ascii="gobCL" w:hAnsi="gobCL"/>
                <w:bCs/>
                <w:color w:val="000000"/>
                <w:sz w:val="20"/>
                <w:szCs w:val="20"/>
              </w:rPr>
              <w:t>(t)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750EE4" w14:textId="77777777" w:rsidR="00967977" w:rsidRPr="00DA1F8F" w:rsidRDefault="00967977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>Garantía en $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AC90F34" w14:textId="77777777" w:rsidR="00967977" w:rsidRPr="00DA1F8F" w:rsidRDefault="00967977" w:rsidP="00CB12A9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DA1F8F">
              <w:rPr>
                <w:rFonts w:ascii="gobCL" w:hAnsi="gobCL"/>
                <w:bCs/>
                <w:color w:val="000000"/>
                <w:sz w:val="20"/>
                <w:szCs w:val="20"/>
              </w:rPr>
              <w:t>Garantía en UTM</w:t>
            </w:r>
          </w:p>
        </w:tc>
      </w:tr>
      <w:tr w:rsidR="00967977" w:rsidRPr="00DA1F8F" w14:paraId="4E91BB50" w14:textId="77777777" w:rsidTr="00CB12A9">
        <w:trPr>
          <w:trHeight w:val="300"/>
          <w:jc w:val="center"/>
        </w:trPr>
        <w:tc>
          <w:tcPr>
            <w:tcW w:w="0" w:type="auto"/>
          </w:tcPr>
          <w:p w14:paraId="3AEA72DD" w14:textId="3783D513" w:rsidR="00967977" w:rsidRPr="00DA1F8F" w:rsidRDefault="004571B3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4571B3">
              <w:rPr>
                <w:rFonts w:ascii="gobCL" w:hAnsi="gobCL"/>
                <w:bCs/>
                <w:color w:val="000000"/>
                <w:sz w:val="20"/>
                <w:szCs w:val="20"/>
              </w:rPr>
              <w:t>0,0000179</w:t>
            </w:r>
          </w:p>
        </w:tc>
        <w:tc>
          <w:tcPr>
            <w:tcW w:w="0" w:type="auto"/>
            <w:vAlign w:val="center"/>
          </w:tcPr>
          <w:p w14:paraId="4F4569EB" w14:textId="2310678A" w:rsidR="00967977" w:rsidRPr="004447A5" w:rsidRDefault="004447A5" w:rsidP="00CB12A9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0,369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D29D9" w14:textId="71EF19CA" w:rsidR="00967977" w:rsidRPr="004447A5" w:rsidRDefault="004447A5" w:rsidP="00CB12A9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44.049</w:t>
            </w:r>
          </w:p>
        </w:tc>
        <w:tc>
          <w:tcPr>
            <w:tcW w:w="0" w:type="auto"/>
            <w:vAlign w:val="bottom"/>
          </w:tcPr>
          <w:p w14:paraId="6F3B3CA0" w14:textId="58FE33F1" w:rsidR="00967977" w:rsidRPr="004447A5" w:rsidRDefault="004447A5" w:rsidP="00CB12A9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0,661</w:t>
            </w:r>
          </w:p>
        </w:tc>
      </w:tr>
    </w:tbl>
    <w:p w14:paraId="3ABB8859" w14:textId="3DB765DE" w:rsidR="00BD02EA" w:rsidRDefault="00BD02EA">
      <w:pPr>
        <w:pStyle w:val="Textoindependiente"/>
        <w:rPr>
          <w:rFonts w:ascii="gobCL" w:hAnsi="gobCL"/>
          <w:b/>
          <w:bCs/>
          <w:sz w:val="22"/>
          <w:szCs w:val="22"/>
          <w:u w:val="single"/>
        </w:rPr>
      </w:pPr>
    </w:p>
    <w:p w14:paraId="0328C61E" w14:textId="77777777" w:rsidR="007F17BF" w:rsidRPr="00ED6E30" w:rsidRDefault="007F17BF">
      <w:pPr>
        <w:pStyle w:val="Textoindependiente"/>
        <w:rPr>
          <w:rFonts w:ascii="gobCL" w:hAnsi="gobCL"/>
          <w:b/>
          <w:bCs/>
          <w:sz w:val="22"/>
          <w:szCs w:val="22"/>
          <w:u w:val="single"/>
        </w:rPr>
      </w:pPr>
    </w:p>
    <w:p w14:paraId="165E90CB" w14:textId="51C7BC4D" w:rsidR="003E2EB1" w:rsidRPr="000838C3" w:rsidRDefault="003E2EB1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2"/>
          <w:szCs w:val="22"/>
          <w:u w:val="single"/>
        </w:rPr>
      </w:pPr>
      <w:r w:rsidRPr="000838C3">
        <w:rPr>
          <w:rFonts w:ascii="gobCL" w:hAnsi="gobCL"/>
          <w:b/>
          <w:bCs/>
          <w:sz w:val="22"/>
          <w:szCs w:val="22"/>
          <w:u w:val="single"/>
        </w:rPr>
        <w:t>Conclusiones</w:t>
      </w:r>
    </w:p>
    <w:p w14:paraId="44E57EE2" w14:textId="77777777" w:rsidR="002027A7" w:rsidRPr="00ED6E30" w:rsidRDefault="002027A7" w:rsidP="00127CAB">
      <w:pPr>
        <w:pStyle w:val="Textoindependiente"/>
        <w:rPr>
          <w:rFonts w:ascii="gobCL" w:hAnsi="gobCL"/>
          <w:bCs/>
          <w:sz w:val="22"/>
          <w:szCs w:val="22"/>
        </w:rPr>
      </w:pPr>
    </w:p>
    <w:p w14:paraId="6FF3A679" w14:textId="528778B6" w:rsidR="00DF0B05" w:rsidRPr="00ED6E30" w:rsidRDefault="003E2EB1" w:rsidP="002D3DD7">
      <w:pPr>
        <w:pStyle w:val="Textoindependiente"/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Durante la subasta a realizarse </w:t>
      </w:r>
      <w:r w:rsidR="00A0609F" w:rsidRPr="00ED6E30">
        <w:rPr>
          <w:rFonts w:ascii="gobCL" w:hAnsi="gobCL"/>
          <w:bCs/>
          <w:sz w:val="22"/>
          <w:szCs w:val="22"/>
        </w:rPr>
        <w:t xml:space="preserve">en </w:t>
      </w:r>
      <w:r w:rsidR="00E10C46">
        <w:rPr>
          <w:rFonts w:ascii="gobCL" w:hAnsi="gobCL"/>
          <w:bCs/>
          <w:sz w:val="22"/>
          <w:szCs w:val="22"/>
        </w:rPr>
        <w:t>diciembre 2024</w:t>
      </w:r>
      <w:r w:rsidR="00E97A96" w:rsidRPr="00ED6E30">
        <w:rPr>
          <w:rFonts w:ascii="gobCL" w:hAnsi="gobCL"/>
          <w:bCs/>
          <w:sz w:val="22"/>
          <w:szCs w:val="22"/>
        </w:rPr>
        <w:t>,</w:t>
      </w:r>
      <w:r w:rsidR="00956570" w:rsidRPr="00ED6E30">
        <w:rPr>
          <w:rFonts w:ascii="gobCL" w:hAnsi="gobCL"/>
          <w:bCs/>
          <w:sz w:val="22"/>
          <w:szCs w:val="22"/>
        </w:rPr>
        <w:t xml:space="preserve"> se </w:t>
      </w:r>
      <w:r w:rsidR="002F414A" w:rsidRPr="00ED6E30">
        <w:rPr>
          <w:rFonts w:ascii="gobCL" w:hAnsi="gobCL"/>
          <w:bCs/>
          <w:sz w:val="22"/>
          <w:szCs w:val="22"/>
        </w:rPr>
        <w:t>deberá</w:t>
      </w:r>
      <w:r w:rsidR="00DF0B05" w:rsidRPr="00ED6E30">
        <w:rPr>
          <w:rFonts w:ascii="gobCL" w:hAnsi="gobCL"/>
          <w:bCs/>
          <w:sz w:val="22"/>
          <w:szCs w:val="22"/>
        </w:rPr>
        <w:t xml:space="preserve"> licitar:</w:t>
      </w:r>
    </w:p>
    <w:p w14:paraId="61415C55" w14:textId="77777777" w:rsidR="00324478" w:rsidRPr="00ED6E30" w:rsidRDefault="00324478" w:rsidP="00324478">
      <w:pPr>
        <w:pStyle w:val="Textoindependiente"/>
        <w:rPr>
          <w:rFonts w:ascii="gobCL" w:hAnsi="gobCL"/>
          <w:bCs/>
          <w:sz w:val="22"/>
          <w:szCs w:val="22"/>
        </w:rPr>
      </w:pPr>
    </w:p>
    <w:p w14:paraId="4CC4AB64" w14:textId="3EDE240D" w:rsidR="002D3DD7" w:rsidRDefault="00C52368" w:rsidP="001D2E03">
      <w:pPr>
        <w:pStyle w:val="Textoindependiente"/>
        <w:numPr>
          <w:ilvl w:val="0"/>
          <w:numId w:val="50"/>
        </w:numPr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>Un lote</w:t>
      </w:r>
      <w:r w:rsidR="008F0484" w:rsidRPr="00ED6E30">
        <w:rPr>
          <w:rFonts w:ascii="gobCL" w:hAnsi="gobCL"/>
          <w:bCs/>
          <w:sz w:val="22"/>
          <w:szCs w:val="22"/>
        </w:rPr>
        <w:t xml:space="preserve"> </w:t>
      </w:r>
      <w:r w:rsidR="00EF43B8">
        <w:rPr>
          <w:rFonts w:ascii="gobCL" w:hAnsi="gobCL"/>
          <w:bCs/>
          <w:sz w:val="22"/>
          <w:szCs w:val="22"/>
        </w:rPr>
        <w:t>caducado a</w:t>
      </w:r>
      <w:r w:rsidR="00CC14F7" w:rsidRPr="00ED6E30">
        <w:rPr>
          <w:rFonts w:ascii="gobCL" w:hAnsi="gobCL"/>
          <w:bCs/>
          <w:sz w:val="22"/>
          <w:szCs w:val="22"/>
        </w:rPr>
        <w:t xml:space="preserve">l </w:t>
      </w:r>
      <w:r w:rsidRPr="00ED6E30">
        <w:rPr>
          <w:rFonts w:ascii="gobCL" w:hAnsi="gobCL"/>
          <w:bCs/>
          <w:sz w:val="22"/>
          <w:szCs w:val="22"/>
        </w:rPr>
        <w:t xml:space="preserve">titular </w:t>
      </w:r>
      <w:r w:rsidR="00E10C46">
        <w:rPr>
          <w:rFonts w:ascii="gobCL" w:hAnsi="gobCL"/>
          <w:bCs/>
          <w:sz w:val="22"/>
          <w:szCs w:val="22"/>
        </w:rPr>
        <w:t>Gonzalo Zúñiga Romero</w:t>
      </w:r>
      <w:r w:rsidRPr="00ED6E30">
        <w:rPr>
          <w:rFonts w:ascii="gobCL" w:hAnsi="gobCL"/>
          <w:bCs/>
          <w:sz w:val="22"/>
          <w:szCs w:val="22"/>
        </w:rPr>
        <w:t xml:space="preserve"> del recurso </w:t>
      </w:r>
      <w:r w:rsidR="00E10C46">
        <w:rPr>
          <w:rFonts w:ascii="gobCL" w:hAnsi="gobCL"/>
          <w:bCs/>
          <w:sz w:val="22"/>
          <w:szCs w:val="22"/>
        </w:rPr>
        <w:t>langostino amarillo</w:t>
      </w:r>
      <w:r w:rsidR="00865F4C" w:rsidRPr="00ED6E30">
        <w:rPr>
          <w:rFonts w:ascii="gobCL" w:hAnsi="gobCL"/>
          <w:bCs/>
          <w:sz w:val="22"/>
          <w:szCs w:val="22"/>
        </w:rPr>
        <w:t xml:space="preserve"> de la unidad de pesquería </w:t>
      </w:r>
      <w:r w:rsidR="00E10C46">
        <w:rPr>
          <w:rFonts w:ascii="gobCL" w:hAnsi="gobCL"/>
          <w:bCs/>
          <w:sz w:val="22"/>
          <w:szCs w:val="22"/>
        </w:rPr>
        <w:t>Atacama-Coquimbo</w:t>
      </w:r>
      <w:r w:rsidRPr="00ED6E30">
        <w:rPr>
          <w:rFonts w:ascii="gobCL" w:hAnsi="gobCL"/>
          <w:bCs/>
          <w:sz w:val="22"/>
          <w:szCs w:val="22"/>
        </w:rPr>
        <w:t xml:space="preserve"> </w:t>
      </w:r>
      <w:r w:rsidR="00D45A3A">
        <w:rPr>
          <w:rFonts w:ascii="gobCL" w:hAnsi="gobCL"/>
          <w:bCs/>
          <w:sz w:val="22"/>
          <w:szCs w:val="22"/>
        </w:rPr>
        <w:t>coeficiente de participación</w:t>
      </w:r>
      <w:r w:rsidR="0099250A">
        <w:rPr>
          <w:rFonts w:ascii="gobCL" w:hAnsi="gobCL"/>
          <w:bCs/>
          <w:sz w:val="22"/>
          <w:szCs w:val="22"/>
        </w:rPr>
        <w:t xml:space="preserve"> </w:t>
      </w:r>
      <w:r w:rsidR="00D45A3A">
        <w:rPr>
          <w:rFonts w:ascii="gobCL" w:hAnsi="gobCL"/>
          <w:bCs/>
          <w:sz w:val="22"/>
          <w:szCs w:val="22"/>
        </w:rPr>
        <w:t>0,0000</w:t>
      </w:r>
      <w:r w:rsidR="00E10C46">
        <w:rPr>
          <w:rFonts w:ascii="gobCL" w:hAnsi="gobCL"/>
          <w:bCs/>
          <w:sz w:val="22"/>
          <w:szCs w:val="22"/>
        </w:rPr>
        <w:t>6</w:t>
      </w:r>
      <w:r w:rsidR="00D45A3A">
        <w:rPr>
          <w:rFonts w:ascii="gobCL" w:hAnsi="gobCL"/>
          <w:bCs/>
          <w:sz w:val="22"/>
          <w:szCs w:val="22"/>
        </w:rPr>
        <w:t xml:space="preserve">00 </w:t>
      </w:r>
      <w:r w:rsidR="0099250A">
        <w:rPr>
          <w:rFonts w:ascii="gobCL" w:hAnsi="gobCL"/>
          <w:bCs/>
          <w:sz w:val="22"/>
          <w:szCs w:val="22"/>
        </w:rPr>
        <w:t xml:space="preserve">equivalente a </w:t>
      </w:r>
      <w:r w:rsidR="00A478D5">
        <w:rPr>
          <w:rFonts w:ascii="gobCL" w:hAnsi="gobCL"/>
          <w:bCs/>
          <w:sz w:val="22"/>
          <w:szCs w:val="22"/>
        </w:rPr>
        <w:t>0,066</w:t>
      </w:r>
      <w:r w:rsidR="0099250A">
        <w:rPr>
          <w:rFonts w:ascii="gobCL" w:hAnsi="gobCL"/>
          <w:bCs/>
          <w:sz w:val="22"/>
          <w:szCs w:val="22"/>
        </w:rPr>
        <w:t xml:space="preserve"> toneladas </w:t>
      </w:r>
      <w:r w:rsidR="00865F4C" w:rsidRPr="00ED6E30">
        <w:rPr>
          <w:rFonts w:ascii="gobCL" w:hAnsi="gobCL"/>
          <w:bCs/>
          <w:sz w:val="22"/>
          <w:szCs w:val="22"/>
        </w:rPr>
        <w:t xml:space="preserve">por un periodo de </w:t>
      </w:r>
      <w:r w:rsidR="00E10C46">
        <w:rPr>
          <w:rFonts w:ascii="gobCL" w:hAnsi="gobCL"/>
          <w:bCs/>
          <w:sz w:val="22"/>
          <w:szCs w:val="22"/>
        </w:rPr>
        <w:t>8</w:t>
      </w:r>
      <w:r w:rsidR="00865F4C" w:rsidRPr="00ED6E30">
        <w:rPr>
          <w:rFonts w:ascii="gobCL" w:hAnsi="gobCL"/>
          <w:bCs/>
          <w:sz w:val="22"/>
          <w:szCs w:val="22"/>
        </w:rPr>
        <w:t xml:space="preserve"> años, a contar del año 202</w:t>
      </w:r>
      <w:r w:rsidR="00E10C46">
        <w:rPr>
          <w:rFonts w:ascii="gobCL" w:hAnsi="gobCL"/>
          <w:bCs/>
          <w:sz w:val="22"/>
          <w:szCs w:val="22"/>
        </w:rPr>
        <w:t>5</w:t>
      </w:r>
      <w:r w:rsidR="00865F4C" w:rsidRPr="00ED6E30">
        <w:rPr>
          <w:rFonts w:ascii="gobCL" w:hAnsi="gobCL"/>
          <w:bCs/>
          <w:sz w:val="22"/>
          <w:szCs w:val="22"/>
        </w:rPr>
        <w:t xml:space="preserve"> hasta el año 203</w:t>
      </w:r>
      <w:r w:rsidR="00E10C46">
        <w:rPr>
          <w:rFonts w:ascii="gobCL" w:hAnsi="gobCL"/>
          <w:bCs/>
          <w:sz w:val="22"/>
          <w:szCs w:val="22"/>
        </w:rPr>
        <w:t>2</w:t>
      </w:r>
      <w:r w:rsidR="00865F4C" w:rsidRPr="00ED6E30">
        <w:rPr>
          <w:rFonts w:ascii="gobCL" w:hAnsi="gobCL"/>
          <w:bCs/>
          <w:sz w:val="22"/>
          <w:szCs w:val="22"/>
        </w:rPr>
        <w:t>.</w:t>
      </w:r>
    </w:p>
    <w:p w14:paraId="3B670B9C" w14:textId="77777777" w:rsidR="00A53A28" w:rsidRDefault="00A53A28" w:rsidP="00A53A28">
      <w:pPr>
        <w:pStyle w:val="Textoindependiente"/>
        <w:ind w:left="720"/>
        <w:rPr>
          <w:rFonts w:ascii="gobCL" w:hAnsi="gobCL"/>
          <w:bCs/>
          <w:sz w:val="22"/>
          <w:szCs w:val="22"/>
        </w:rPr>
      </w:pPr>
    </w:p>
    <w:p w14:paraId="3C3FD4DD" w14:textId="387B0516" w:rsidR="00E10C46" w:rsidRDefault="00E10C46" w:rsidP="00E10C46">
      <w:pPr>
        <w:pStyle w:val="Textoindependiente"/>
        <w:numPr>
          <w:ilvl w:val="0"/>
          <w:numId w:val="50"/>
        </w:numPr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lastRenderedPageBreak/>
        <w:t xml:space="preserve">Un lote </w:t>
      </w:r>
      <w:r>
        <w:rPr>
          <w:rFonts w:ascii="gobCL" w:hAnsi="gobCL"/>
          <w:bCs/>
          <w:sz w:val="22"/>
          <w:szCs w:val="22"/>
        </w:rPr>
        <w:t>caducado a</w:t>
      </w:r>
      <w:r w:rsidRPr="00ED6E30">
        <w:rPr>
          <w:rFonts w:ascii="gobCL" w:hAnsi="gobCL"/>
          <w:bCs/>
          <w:sz w:val="22"/>
          <w:szCs w:val="22"/>
        </w:rPr>
        <w:t xml:space="preserve">l titular </w:t>
      </w:r>
      <w:r>
        <w:rPr>
          <w:rFonts w:ascii="gobCL" w:hAnsi="gobCL"/>
          <w:bCs/>
          <w:sz w:val="22"/>
          <w:szCs w:val="22"/>
        </w:rPr>
        <w:t>Gonzalo Zúñiga Romero</w:t>
      </w:r>
      <w:r w:rsidRPr="00ED6E30">
        <w:rPr>
          <w:rFonts w:ascii="gobCL" w:hAnsi="gobCL"/>
          <w:bCs/>
          <w:sz w:val="22"/>
          <w:szCs w:val="22"/>
        </w:rPr>
        <w:t xml:space="preserve"> del recurso </w:t>
      </w:r>
      <w:r>
        <w:rPr>
          <w:rFonts w:ascii="gobCL" w:hAnsi="gobCL"/>
          <w:bCs/>
          <w:sz w:val="22"/>
          <w:szCs w:val="22"/>
        </w:rPr>
        <w:t>langostino colorado</w:t>
      </w:r>
      <w:r w:rsidRPr="00ED6E30">
        <w:rPr>
          <w:rFonts w:ascii="gobCL" w:hAnsi="gobCL"/>
          <w:bCs/>
          <w:sz w:val="22"/>
          <w:szCs w:val="22"/>
        </w:rPr>
        <w:t xml:space="preserve"> de la unidad de pesquería </w:t>
      </w:r>
      <w:r w:rsidR="002871A8">
        <w:rPr>
          <w:rFonts w:ascii="gobCL" w:hAnsi="gobCL"/>
          <w:bCs/>
          <w:sz w:val="22"/>
          <w:szCs w:val="22"/>
        </w:rPr>
        <w:t>Arica y Parinacota</w:t>
      </w:r>
      <w:r>
        <w:rPr>
          <w:rFonts w:ascii="gobCL" w:hAnsi="gobCL"/>
          <w:bCs/>
          <w:sz w:val="22"/>
          <w:szCs w:val="22"/>
        </w:rPr>
        <w:t>-Coquimbo</w:t>
      </w:r>
      <w:r w:rsidRPr="00ED6E30">
        <w:rPr>
          <w:rFonts w:ascii="gobCL" w:hAnsi="gobCL"/>
          <w:bCs/>
          <w:sz w:val="22"/>
          <w:szCs w:val="22"/>
        </w:rPr>
        <w:t xml:space="preserve"> </w:t>
      </w:r>
      <w:r>
        <w:rPr>
          <w:rFonts w:ascii="gobCL" w:hAnsi="gobCL"/>
          <w:bCs/>
          <w:sz w:val="22"/>
          <w:szCs w:val="22"/>
        </w:rPr>
        <w:t>coeficiente de participación 0,000</w:t>
      </w:r>
      <w:r w:rsidR="002871A8">
        <w:rPr>
          <w:rFonts w:ascii="gobCL" w:hAnsi="gobCL"/>
          <w:bCs/>
          <w:sz w:val="22"/>
          <w:szCs w:val="22"/>
        </w:rPr>
        <w:t>47</w:t>
      </w:r>
      <w:r>
        <w:rPr>
          <w:rFonts w:ascii="gobCL" w:hAnsi="gobCL"/>
          <w:bCs/>
          <w:sz w:val="22"/>
          <w:szCs w:val="22"/>
        </w:rPr>
        <w:t xml:space="preserve">00 equivalente a </w:t>
      </w:r>
      <w:r w:rsidR="00A478D5">
        <w:rPr>
          <w:rFonts w:ascii="gobCL" w:hAnsi="gobCL"/>
          <w:bCs/>
          <w:sz w:val="22"/>
          <w:szCs w:val="22"/>
        </w:rPr>
        <w:t>0,191</w:t>
      </w:r>
      <w:r>
        <w:rPr>
          <w:rFonts w:ascii="gobCL" w:hAnsi="gobCL"/>
          <w:bCs/>
          <w:sz w:val="22"/>
          <w:szCs w:val="22"/>
        </w:rPr>
        <w:t xml:space="preserve"> toneladas </w:t>
      </w:r>
      <w:r w:rsidRPr="00ED6E30">
        <w:rPr>
          <w:rFonts w:ascii="gobCL" w:hAnsi="gobCL"/>
          <w:bCs/>
          <w:sz w:val="22"/>
          <w:szCs w:val="22"/>
        </w:rPr>
        <w:t xml:space="preserve">por un periodo de </w:t>
      </w:r>
      <w:r>
        <w:rPr>
          <w:rFonts w:ascii="gobCL" w:hAnsi="gobCL"/>
          <w:bCs/>
          <w:sz w:val="22"/>
          <w:szCs w:val="22"/>
        </w:rPr>
        <w:t>8</w:t>
      </w:r>
      <w:r w:rsidRPr="00ED6E30">
        <w:rPr>
          <w:rFonts w:ascii="gobCL" w:hAnsi="gobCL"/>
          <w:bCs/>
          <w:sz w:val="22"/>
          <w:szCs w:val="22"/>
        </w:rPr>
        <w:t xml:space="preserve"> años, a contar del año 202</w:t>
      </w:r>
      <w:r>
        <w:rPr>
          <w:rFonts w:ascii="gobCL" w:hAnsi="gobCL"/>
          <w:bCs/>
          <w:sz w:val="22"/>
          <w:szCs w:val="22"/>
        </w:rPr>
        <w:t>5</w:t>
      </w:r>
      <w:r w:rsidRPr="00ED6E30">
        <w:rPr>
          <w:rFonts w:ascii="gobCL" w:hAnsi="gobCL"/>
          <w:bCs/>
          <w:sz w:val="22"/>
          <w:szCs w:val="22"/>
        </w:rPr>
        <w:t xml:space="preserve"> hasta el año 203</w:t>
      </w:r>
      <w:r>
        <w:rPr>
          <w:rFonts w:ascii="gobCL" w:hAnsi="gobCL"/>
          <w:bCs/>
          <w:sz w:val="22"/>
          <w:szCs w:val="22"/>
        </w:rPr>
        <w:t>2</w:t>
      </w:r>
      <w:r w:rsidRPr="00ED6E30">
        <w:rPr>
          <w:rFonts w:ascii="gobCL" w:hAnsi="gobCL"/>
          <w:bCs/>
          <w:sz w:val="22"/>
          <w:szCs w:val="22"/>
        </w:rPr>
        <w:t>.</w:t>
      </w:r>
    </w:p>
    <w:p w14:paraId="112F4EC1" w14:textId="77777777" w:rsidR="00A53A28" w:rsidRDefault="00A53A28" w:rsidP="00A53A28">
      <w:pPr>
        <w:pStyle w:val="Prrafodelista"/>
        <w:rPr>
          <w:rFonts w:ascii="gobCL" w:hAnsi="gobCL"/>
          <w:bCs/>
          <w:sz w:val="22"/>
          <w:szCs w:val="22"/>
        </w:rPr>
      </w:pPr>
    </w:p>
    <w:p w14:paraId="38E64DCE" w14:textId="75CDECEB" w:rsidR="00533AEA" w:rsidRDefault="00533AEA" w:rsidP="00533AEA">
      <w:pPr>
        <w:pStyle w:val="Textoindependiente"/>
        <w:numPr>
          <w:ilvl w:val="0"/>
          <w:numId w:val="50"/>
        </w:numPr>
        <w:rPr>
          <w:rFonts w:ascii="gobCL" w:hAnsi="gobCL"/>
          <w:bCs/>
          <w:sz w:val="22"/>
          <w:szCs w:val="22"/>
        </w:rPr>
      </w:pPr>
      <w:r w:rsidRPr="00ED6E30">
        <w:rPr>
          <w:rFonts w:ascii="gobCL" w:hAnsi="gobCL"/>
          <w:bCs/>
          <w:sz w:val="22"/>
          <w:szCs w:val="22"/>
        </w:rPr>
        <w:t xml:space="preserve">Un lote </w:t>
      </w:r>
      <w:r>
        <w:rPr>
          <w:rFonts w:ascii="gobCL" w:hAnsi="gobCL"/>
          <w:bCs/>
          <w:sz w:val="22"/>
          <w:szCs w:val="22"/>
        </w:rPr>
        <w:t>caducado a</w:t>
      </w:r>
      <w:r w:rsidRPr="00ED6E30">
        <w:rPr>
          <w:rFonts w:ascii="gobCL" w:hAnsi="gobCL"/>
          <w:bCs/>
          <w:sz w:val="22"/>
          <w:szCs w:val="22"/>
        </w:rPr>
        <w:t xml:space="preserve">l titular </w:t>
      </w:r>
      <w:r>
        <w:rPr>
          <w:rFonts w:ascii="gobCL" w:hAnsi="gobCL"/>
          <w:bCs/>
          <w:sz w:val="22"/>
          <w:szCs w:val="22"/>
        </w:rPr>
        <w:t>Gonzalo Zúñiga Romero</w:t>
      </w:r>
      <w:r w:rsidRPr="00ED6E30">
        <w:rPr>
          <w:rFonts w:ascii="gobCL" w:hAnsi="gobCL"/>
          <w:bCs/>
          <w:sz w:val="22"/>
          <w:szCs w:val="22"/>
        </w:rPr>
        <w:t xml:space="preserve"> del recurso </w:t>
      </w:r>
      <w:r>
        <w:rPr>
          <w:rFonts w:ascii="gobCL" w:hAnsi="gobCL"/>
          <w:bCs/>
          <w:sz w:val="22"/>
          <w:szCs w:val="22"/>
        </w:rPr>
        <w:t>merluza común</w:t>
      </w:r>
      <w:r w:rsidRPr="00ED6E30">
        <w:rPr>
          <w:rFonts w:ascii="gobCL" w:hAnsi="gobCL"/>
          <w:bCs/>
          <w:sz w:val="22"/>
          <w:szCs w:val="22"/>
        </w:rPr>
        <w:t xml:space="preserve"> de la unidad de pesquería </w:t>
      </w:r>
      <w:r>
        <w:rPr>
          <w:rFonts w:ascii="gobCL" w:hAnsi="gobCL"/>
          <w:bCs/>
          <w:sz w:val="22"/>
          <w:szCs w:val="22"/>
        </w:rPr>
        <w:t>Coquimbo</w:t>
      </w:r>
      <w:r w:rsidRPr="00ED6E30">
        <w:rPr>
          <w:rFonts w:ascii="gobCL" w:hAnsi="gobCL"/>
          <w:bCs/>
          <w:sz w:val="22"/>
          <w:szCs w:val="22"/>
        </w:rPr>
        <w:t xml:space="preserve"> </w:t>
      </w:r>
      <w:r>
        <w:rPr>
          <w:rFonts w:ascii="gobCL" w:hAnsi="gobCL"/>
          <w:bCs/>
          <w:sz w:val="22"/>
          <w:szCs w:val="22"/>
        </w:rPr>
        <w:t>a paralelo 41° 28,6’ L.S., coeficiente de participación 0,0000</w:t>
      </w:r>
      <w:r w:rsidR="00F164DA">
        <w:rPr>
          <w:rFonts w:ascii="gobCL" w:hAnsi="gobCL"/>
          <w:bCs/>
          <w:sz w:val="22"/>
          <w:szCs w:val="22"/>
        </w:rPr>
        <w:t>179</w:t>
      </w:r>
      <w:r>
        <w:rPr>
          <w:rFonts w:ascii="gobCL" w:hAnsi="gobCL"/>
          <w:bCs/>
          <w:sz w:val="22"/>
          <w:szCs w:val="22"/>
        </w:rPr>
        <w:t xml:space="preserve"> equivalente a </w:t>
      </w:r>
      <w:r w:rsidR="00A478D5">
        <w:rPr>
          <w:rFonts w:ascii="gobCL" w:hAnsi="gobCL"/>
          <w:bCs/>
          <w:sz w:val="22"/>
          <w:szCs w:val="22"/>
        </w:rPr>
        <w:t>0,369</w:t>
      </w:r>
      <w:r>
        <w:rPr>
          <w:rFonts w:ascii="gobCL" w:hAnsi="gobCL"/>
          <w:bCs/>
          <w:sz w:val="22"/>
          <w:szCs w:val="22"/>
        </w:rPr>
        <w:t xml:space="preserve"> toneladas </w:t>
      </w:r>
      <w:r w:rsidRPr="00ED6E30">
        <w:rPr>
          <w:rFonts w:ascii="gobCL" w:hAnsi="gobCL"/>
          <w:bCs/>
          <w:sz w:val="22"/>
          <w:szCs w:val="22"/>
        </w:rPr>
        <w:t xml:space="preserve">por un periodo de </w:t>
      </w:r>
      <w:r>
        <w:rPr>
          <w:rFonts w:ascii="gobCL" w:hAnsi="gobCL"/>
          <w:bCs/>
          <w:sz w:val="22"/>
          <w:szCs w:val="22"/>
        </w:rPr>
        <w:t>8</w:t>
      </w:r>
      <w:r w:rsidRPr="00ED6E30">
        <w:rPr>
          <w:rFonts w:ascii="gobCL" w:hAnsi="gobCL"/>
          <w:bCs/>
          <w:sz w:val="22"/>
          <w:szCs w:val="22"/>
        </w:rPr>
        <w:t xml:space="preserve"> años, a contar del año 202</w:t>
      </w:r>
      <w:r>
        <w:rPr>
          <w:rFonts w:ascii="gobCL" w:hAnsi="gobCL"/>
          <w:bCs/>
          <w:sz w:val="22"/>
          <w:szCs w:val="22"/>
        </w:rPr>
        <w:t>5</w:t>
      </w:r>
      <w:r w:rsidRPr="00ED6E30">
        <w:rPr>
          <w:rFonts w:ascii="gobCL" w:hAnsi="gobCL"/>
          <w:bCs/>
          <w:sz w:val="22"/>
          <w:szCs w:val="22"/>
        </w:rPr>
        <w:t xml:space="preserve"> hasta el año 203</w:t>
      </w:r>
      <w:r>
        <w:rPr>
          <w:rFonts w:ascii="gobCL" w:hAnsi="gobCL"/>
          <w:bCs/>
          <w:sz w:val="22"/>
          <w:szCs w:val="22"/>
        </w:rPr>
        <w:t>2</w:t>
      </w:r>
      <w:r w:rsidRPr="00ED6E30">
        <w:rPr>
          <w:rFonts w:ascii="gobCL" w:hAnsi="gobCL"/>
          <w:bCs/>
          <w:sz w:val="22"/>
          <w:szCs w:val="22"/>
        </w:rPr>
        <w:t>.</w:t>
      </w:r>
    </w:p>
    <w:p w14:paraId="43D145D5" w14:textId="77777777" w:rsidR="00D0570D" w:rsidRDefault="00D0570D" w:rsidP="00D0570D">
      <w:pPr>
        <w:pStyle w:val="Prrafodelista"/>
        <w:rPr>
          <w:rFonts w:ascii="gobCL" w:hAnsi="gobCL"/>
          <w:bCs/>
          <w:sz w:val="22"/>
          <w:szCs w:val="22"/>
        </w:rPr>
      </w:pPr>
    </w:p>
    <w:p w14:paraId="4F532578" w14:textId="3B75338C" w:rsidR="00D0570D" w:rsidRDefault="00D0570D" w:rsidP="00533AEA">
      <w:pPr>
        <w:pStyle w:val="Textoindependiente"/>
        <w:numPr>
          <w:ilvl w:val="0"/>
          <w:numId w:val="50"/>
        </w:numPr>
        <w:rPr>
          <w:rFonts w:ascii="gobCL" w:hAnsi="gobCL"/>
          <w:bCs/>
          <w:sz w:val="22"/>
          <w:szCs w:val="22"/>
        </w:rPr>
      </w:pPr>
      <w:r>
        <w:rPr>
          <w:rFonts w:ascii="gobCL" w:hAnsi="gobCL"/>
          <w:bCs/>
          <w:sz w:val="22"/>
          <w:szCs w:val="22"/>
        </w:rPr>
        <w:t xml:space="preserve">El titular Gonzalo Zúñiga no podrá participar de los lotes a </w:t>
      </w:r>
      <w:proofErr w:type="spellStart"/>
      <w:r>
        <w:rPr>
          <w:rFonts w:ascii="gobCL" w:hAnsi="gobCL"/>
          <w:bCs/>
          <w:sz w:val="22"/>
          <w:szCs w:val="22"/>
        </w:rPr>
        <w:t>substar</w:t>
      </w:r>
      <w:proofErr w:type="spellEnd"/>
      <w:r>
        <w:rPr>
          <w:rFonts w:ascii="gobCL" w:hAnsi="gobCL"/>
          <w:bCs/>
          <w:sz w:val="22"/>
          <w:szCs w:val="22"/>
        </w:rPr>
        <w:t>.</w:t>
      </w:r>
    </w:p>
    <w:p w14:paraId="030A15AF" w14:textId="77777777" w:rsidR="00324478" w:rsidRPr="00ED6E30" w:rsidRDefault="00324478" w:rsidP="00324478">
      <w:pPr>
        <w:pStyle w:val="Prrafodelista"/>
        <w:rPr>
          <w:rFonts w:ascii="gobCL" w:hAnsi="gobCL"/>
          <w:bCs/>
          <w:sz w:val="22"/>
          <w:szCs w:val="22"/>
        </w:rPr>
      </w:pPr>
    </w:p>
    <w:p w14:paraId="3341745A" w14:textId="0E7B2586" w:rsidR="0042642C" w:rsidRDefault="0042642C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390E0A87" w14:textId="6AB6BA8D" w:rsidR="002D52AF" w:rsidRDefault="002D52AF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7F1FA76F" w14:textId="7C6742F5" w:rsidR="002D52AF" w:rsidRDefault="002D52AF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2080B81A" w14:textId="0523841B" w:rsidR="002D52AF" w:rsidRDefault="002D52AF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3E8FBE4D" w14:textId="5EED0399" w:rsidR="002D52AF" w:rsidRDefault="002D52AF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45AFFB58" w14:textId="0B4A34FD" w:rsidR="00A53A28" w:rsidRDefault="00A53A28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38DF9578" w14:textId="7475E1F9" w:rsidR="00A53A28" w:rsidRDefault="00A53A28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696B154D" w14:textId="4C1D10F3" w:rsidR="00A53A28" w:rsidRDefault="00A53A28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12201C49" w14:textId="74E9E679" w:rsidR="00A53A28" w:rsidRDefault="00A53A28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2C664EC5" w14:textId="77777777" w:rsidR="00C64474" w:rsidRDefault="00C64474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57A41E0D" w14:textId="77777777" w:rsidR="00C64474" w:rsidRDefault="00C64474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7D6494A3" w14:textId="77777777" w:rsidR="00C64474" w:rsidRDefault="00C64474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4C3B9483" w14:textId="77777777" w:rsidR="00A53A28" w:rsidRPr="00ED6E30" w:rsidRDefault="00A53A28" w:rsidP="00956570">
      <w:pPr>
        <w:pStyle w:val="Textoindependiente"/>
        <w:rPr>
          <w:rFonts w:ascii="gobCL" w:hAnsi="gobCL"/>
          <w:bCs/>
          <w:sz w:val="22"/>
          <w:szCs w:val="22"/>
        </w:rPr>
      </w:pPr>
    </w:p>
    <w:p w14:paraId="711968C6" w14:textId="77777777" w:rsidR="004E094B" w:rsidRPr="00ED6E30" w:rsidRDefault="004E094B" w:rsidP="004E094B">
      <w:pPr>
        <w:pStyle w:val="Textoindependiente"/>
        <w:jc w:val="center"/>
        <w:rPr>
          <w:rFonts w:ascii="gobCL" w:hAnsi="gobCL"/>
          <w:b/>
          <w:sz w:val="22"/>
          <w:szCs w:val="22"/>
        </w:rPr>
      </w:pPr>
    </w:p>
    <w:p w14:paraId="76D56A17" w14:textId="77777777" w:rsidR="004E094B" w:rsidRPr="00ED6E30" w:rsidRDefault="004E094B" w:rsidP="00127CAB">
      <w:pPr>
        <w:pStyle w:val="Textoindependiente"/>
        <w:rPr>
          <w:rFonts w:ascii="gobCL" w:hAnsi="gobCL"/>
          <w:bCs/>
          <w:sz w:val="22"/>
          <w:szCs w:val="22"/>
        </w:rPr>
      </w:pPr>
    </w:p>
    <w:p w14:paraId="3CAD3E10" w14:textId="18C6D21A" w:rsidR="006A7B7E" w:rsidRPr="00C64474" w:rsidRDefault="00865F4C">
      <w:pPr>
        <w:pStyle w:val="Textoindependiente"/>
        <w:rPr>
          <w:rFonts w:ascii="gobCL" w:hAnsi="gobCL"/>
          <w:bCs/>
          <w:sz w:val="18"/>
          <w:szCs w:val="18"/>
        </w:rPr>
      </w:pPr>
      <w:r w:rsidRPr="00C64474">
        <w:rPr>
          <w:rFonts w:ascii="gobCL" w:hAnsi="gobCL"/>
          <w:bCs/>
          <w:sz w:val="18"/>
          <w:szCs w:val="18"/>
        </w:rPr>
        <w:t>MUV</w:t>
      </w:r>
      <w:r w:rsidR="00036A59" w:rsidRPr="00C64474">
        <w:rPr>
          <w:rFonts w:ascii="gobCL" w:hAnsi="gobCL"/>
          <w:bCs/>
          <w:sz w:val="18"/>
          <w:szCs w:val="18"/>
        </w:rPr>
        <w:t xml:space="preserve"> </w:t>
      </w:r>
      <w:r w:rsidR="00055A51" w:rsidRPr="00C64474">
        <w:rPr>
          <w:rFonts w:ascii="gobCL" w:hAnsi="gobCL"/>
          <w:bCs/>
          <w:sz w:val="18"/>
          <w:szCs w:val="18"/>
        </w:rPr>
        <w:t>/</w:t>
      </w:r>
      <w:r w:rsidR="00036A59" w:rsidRPr="00C64474">
        <w:rPr>
          <w:rFonts w:ascii="gobCL" w:hAnsi="gobCL"/>
          <w:bCs/>
          <w:sz w:val="18"/>
          <w:szCs w:val="18"/>
        </w:rPr>
        <w:t xml:space="preserve"> </w:t>
      </w:r>
      <w:proofErr w:type="spellStart"/>
      <w:r w:rsidRPr="00C64474">
        <w:rPr>
          <w:rFonts w:ascii="gobCL" w:hAnsi="gobCL"/>
          <w:bCs/>
          <w:sz w:val="18"/>
          <w:szCs w:val="18"/>
        </w:rPr>
        <w:t>imu</w:t>
      </w:r>
      <w:proofErr w:type="spellEnd"/>
      <w:r w:rsidR="0042642C" w:rsidRPr="00C64474">
        <w:rPr>
          <w:rFonts w:ascii="gobCL" w:hAnsi="gobCL"/>
          <w:bCs/>
          <w:sz w:val="18"/>
          <w:szCs w:val="18"/>
        </w:rPr>
        <w:tab/>
      </w:r>
      <w:r w:rsidR="0042642C" w:rsidRPr="00C64474">
        <w:rPr>
          <w:rFonts w:ascii="gobCL" w:hAnsi="gobCL"/>
          <w:bCs/>
          <w:sz w:val="18"/>
          <w:szCs w:val="18"/>
        </w:rPr>
        <w:tab/>
      </w:r>
      <w:r w:rsidR="00494B8C" w:rsidRPr="00C64474">
        <w:rPr>
          <w:rFonts w:ascii="gobCL" w:hAnsi="gobCL"/>
          <w:bCs/>
          <w:sz w:val="18"/>
          <w:szCs w:val="18"/>
        </w:rPr>
        <w:tab/>
      </w:r>
      <w:r w:rsidR="00A03CC0" w:rsidRPr="00C64474">
        <w:rPr>
          <w:rFonts w:ascii="gobCL" w:hAnsi="gobCL"/>
          <w:bCs/>
          <w:sz w:val="18"/>
          <w:szCs w:val="18"/>
        </w:rPr>
        <w:tab/>
      </w:r>
      <w:r w:rsidR="00A03CC0" w:rsidRPr="00C64474">
        <w:rPr>
          <w:rFonts w:ascii="gobCL" w:hAnsi="gobCL"/>
          <w:bCs/>
          <w:sz w:val="18"/>
          <w:szCs w:val="18"/>
        </w:rPr>
        <w:tab/>
      </w:r>
      <w:r w:rsidR="00A03CC0" w:rsidRPr="00C64474">
        <w:rPr>
          <w:rFonts w:ascii="gobCL" w:hAnsi="gobCL"/>
          <w:bCs/>
          <w:sz w:val="18"/>
          <w:szCs w:val="18"/>
        </w:rPr>
        <w:tab/>
      </w:r>
      <w:r w:rsidR="002D3DD7" w:rsidRPr="00C64474">
        <w:rPr>
          <w:rFonts w:ascii="gobCL" w:hAnsi="gobCL"/>
          <w:bCs/>
          <w:sz w:val="18"/>
          <w:szCs w:val="18"/>
        </w:rPr>
        <w:t xml:space="preserve">                 </w:t>
      </w:r>
    </w:p>
    <w:p w14:paraId="7A3E120E" w14:textId="78AFB949" w:rsidR="00CA0BCE" w:rsidRPr="00A3229D" w:rsidRDefault="00A478D5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  <w:sz w:val="18"/>
          <w:szCs w:val="18"/>
        </w:rPr>
        <w:t>N</w:t>
      </w:r>
      <w:r w:rsidR="00112ED3">
        <w:rPr>
          <w:rFonts w:ascii="gobCL" w:hAnsi="gobCL"/>
          <w:bCs/>
          <w:sz w:val="18"/>
          <w:szCs w:val="18"/>
        </w:rPr>
        <w:t>oviembre</w:t>
      </w:r>
      <w:r>
        <w:rPr>
          <w:rFonts w:ascii="gobCL" w:hAnsi="gobCL"/>
          <w:bCs/>
          <w:sz w:val="18"/>
          <w:szCs w:val="18"/>
        </w:rPr>
        <w:t xml:space="preserve"> </w:t>
      </w:r>
      <w:r w:rsidR="009D0D27" w:rsidRPr="00C64474">
        <w:rPr>
          <w:rFonts w:ascii="gobCL" w:hAnsi="gobCL"/>
          <w:bCs/>
          <w:sz w:val="18"/>
          <w:szCs w:val="18"/>
        </w:rPr>
        <w:t>202</w:t>
      </w:r>
      <w:r w:rsidR="00112ED3">
        <w:rPr>
          <w:rFonts w:ascii="gobCL" w:hAnsi="gobCL"/>
          <w:bCs/>
          <w:sz w:val="18"/>
          <w:szCs w:val="18"/>
        </w:rPr>
        <w:t>4</w:t>
      </w:r>
      <w:r w:rsidR="009D0D27" w:rsidRPr="00A3229D">
        <w:rPr>
          <w:rFonts w:ascii="gobCL" w:hAnsi="gobCL"/>
          <w:bCs/>
        </w:rPr>
        <w:tab/>
      </w:r>
    </w:p>
    <w:sectPr w:rsidR="00CA0BCE" w:rsidRPr="00A3229D" w:rsidSect="005D6D9F">
      <w:headerReference w:type="even" r:id="rId8"/>
      <w:headerReference w:type="default" r:id="rId9"/>
      <w:footerReference w:type="default" r:id="rId10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E338" w14:textId="77777777" w:rsidR="00BA25AE" w:rsidRDefault="00BA25AE">
      <w:r>
        <w:separator/>
      </w:r>
    </w:p>
  </w:endnote>
  <w:endnote w:type="continuationSeparator" w:id="0">
    <w:p w14:paraId="11977FDA" w14:textId="77777777" w:rsidR="00BA25AE" w:rsidRDefault="00B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295F" w14:textId="606DF456" w:rsidR="00BA25AE" w:rsidRPr="004D1D9F" w:rsidRDefault="00BA25AE" w:rsidP="00253505">
    <w:pPr>
      <w:pStyle w:val="Piedepgina"/>
      <w:rPr>
        <w:rFonts w:ascii="Arial Narrow" w:hAnsi="Arial Narrow"/>
      </w:rPr>
    </w:pPr>
    <w:r w:rsidRPr="004D1D9F">
      <w:rPr>
        <w:rFonts w:ascii="Arial Narrow" w:hAnsi="Arial Narrow"/>
        <w:sz w:val="16"/>
      </w:rPr>
      <w:t>A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sectorial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\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minutas\minutas_20</w:t>
    </w:r>
    <w:r>
      <w:rPr>
        <w:rFonts w:ascii="Arial Narrow" w:hAnsi="Arial Narrow"/>
        <w:sz w:val="16"/>
      </w:rPr>
      <w:t>2</w:t>
    </w:r>
    <w:r w:rsidR="001B55E3">
      <w:rPr>
        <w:rFonts w:ascii="Arial Narrow" w:hAnsi="Arial Narrow"/>
        <w:sz w:val="16"/>
      </w:rPr>
      <w:t>4</w:t>
    </w:r>
    <w:r w:rsidRPr="004D1D9F">
      <w:rPr>
        <w:rFonts w:ascii="Arial Narrow" w:hAnsi="Arial Narrow"/>
        <w:sz w:val="16"/>
      </w:rPr>
      <w:t xml:space="preserve">   </w:t>
    </w:r>
  </w:p>
  <w:p w14:paraId="1465E480" w14:textId="77777777" w:rsidR="00BA25AE" w:rsidRDefault="00BA25A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9BFE" w14:textId="77777777" w:rsidR="00BA25AE" w:rsidRDefault="00BA25AE">
      <w:r>
        <w:separator/>
      </w:r>
    </w:p>
  </w:footnote>
  <w:footnote w:type="continuationSeparator" w:id="0">
    <w:p w14:paraId="02FBB3B3" w14:textId="77777777" w:rsidR="00BA25AE" w:rsidRDefault="00BA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3698" w14:textId="77777777" w:rsidR="00BA25AE" w:rsidRDefault="00BA25A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513AC9" w14:textId="77777777" w:rsidR="00BA25AE" w:rsidRDefault="00BA25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8EF5" w14:textId="77777777" w:rsidR="00BA25AE" w:rsidRDefault="00BA25AE">
    <w:pPr>
      <w:pStyle w:val="Encabezado"/>
      <w:ind w:right="360"/>
    </w:pPr>
  </w:p>
  <w:p w14:paraId="29693348" w14:textId="0221C651" w:rsidR="00BA25AE" w:rsidRPr="009B7B77" w:rsidRDefault="00BA25AE" w:rsidP="009B7B77">
    <w:pPr>
      <w:pStyle w:val="Encabezado"/>
      <w:framePr w:wrap="around" w:vAnchor="text" w:hAnchor="page" w:x="10542" w:y="87"/>
      <w:rPr>
        <w:rStyle w:val="Nmerodepgina"/>
        <w:rFonts w:ascii="gobCL" w:hAnsi="gobCL"/>
        <w:sz w:val="18"/>
        <w:szCs w:val="18"/>
      </w:rPr>
    </w:pPr>
    <w:r w:rsidRPr="009B7B77">
      <w:rPr>
        <w:rStyle w:val="Nmerodepgina"/>
        <w:rFonts w:ascii="gobCL" w:hAnsi="gobCL"/>
        <w:sz w:val="18"/>
        <w:szCs w:val="18"/>
      </w:rPr>
      <w:fldChar w:fldCharType="begin"/>
    </w:r>
    <w:r w:rsidRPr="009B7B77">
      <w:rPr>
        <w:rStyle w:val="Nmerodepgina"/>
        <w:rFonts w:ascii="gobCL" w:hAnsi="gobCL"/>
        <w:sz w:val="18"/>
        <w:szCs w:val="18"/>
      </w:rPr>
      <w:instrText xml:space="preserve">PAGE  </w:instrText>
    </w:r>
    <w:r w:rsidRPr="009B7B77">
      <w:rPr>
        <w:rStyle w:val="Nmerodepgina"/>
        <w:rFonts w:ascii="gobCL" w:hAnsi="gobCL"/>
        <w:sz w:val="18"/>
        <w:szCs w:val="18"/>
      </w:rPr>
      <w:fldChar w:fldCharType="separate"/>
    </w:r>
    <w:r>
      <w:rPr>
        <w:rStyle w:val="Nmerodepgina"/>
        <w:rFonts w:ascii="gobCL" w:hAnsi="gobCL"/>
        <w:noProof/>
        <w:sz w:val="18"/>
        <w:szCs w:val="18"/>
      </w:rPr>
      <w:t>11</w:t>
    </w:r>
    <w:r w:rsidRPr="009B7B77">
      <w:rPr>
        <w:rStyle w:val="Nmerodepgina"/>
        <w:rFonts w:ascii="gobCL" w:hAnsi="gobCL"/>
        <w:sz w:val="18"/>
        <w:szCs w:val="18"/>
      </w:rPr>
      <w:fldChar w:fldCharType="end"/>
    </w:r>
  </w:p>
  <w:p w14:paraId="43E128BF" w14:textId="77777777" w:rsidR="00BA25AE" w:rsidRDefault="00BA25AE">
    <w:pPr>
      <w:pStyle w:val="Encabezado"/>
    </w:pPr>
    <w:r>
      <w:rPr>
        <w:noProof/>
        <w:lang w:val="es-CL" w:eastAsia="es-CL"/>
      </w:rPr>
      <w:drawing>
        <wp:inline distT="0" distB="0" distL="0" distR="0" wp14:anchorId="5F8522A9" wp14:editId="2EDB4A96">
          <wp:extent cx="1123950" cy="1019173"/>
          <wp:effectExtent l="0" t="0" r="0" b="0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87" cy="1025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C2953"/>
    <w:multiLevelType w:val="hybridMultilevel"/>
    <w:tmpl w:val="7944C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641CCB"/>
    <w:multiLevelType w:val="hybridMultilevel"/>
    <w:tmpl w:val="BBBE04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F7485A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D189C"/>
    <w:multiLevelType w:val="hybridMultilevel"/>
    <w:tmpl w:val="3356B9AE"/>
    <w:lvl w:ilvl="0" w:tplc="3F2246F2">
      <w:start w:val="2"/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9C64E41"/>
    <w:multiLevelType w:val="hybridMultilevel"/>
    <w:tmpl w:val="D100799E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90FFA"/>
    <w:multiLevelType w:val="hybridMultilevel"/>
    <w:tmpl w:val="B18E27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D5B35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642B93"/>
    <w:multiLevelType w:val="hybridMultilevel"/>
    <w:tmpl w:val="7EB2D866"/>
    <w:lvl w:ilvl="0" w:tplc="7B3C5092">
      <w:start w:val="1"/>
      <w:numFmt w:val="lowerLetter"/>
      <w:lvlText w:val="%1)"/>
      <w:lvlJc w:val="left"/>
      <w:pPr>
        <w:ind w:left="765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4EFE2421"/>
    <w:multiLevelType w:val="hybridMultilevel"/>
    <w:tmpl w:val="3562585A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902FA9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14734"/>
    <w:multiLevelType w:val="hybridMultilevel"/>
    <w:tmpl w:val="D7AC83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945219">
    <w:abstractNumId w:val="10"/>
  </w:num>
  <w:num w:numId="2" w16cid:durableId="524827859">
    <w:abstractNumId w:val="45"/>
  </w:num>
  <w:num w:numId="3" w16cid:durableId="595090148">
    <w:abstractNumId w:val="46"/>
  </w:num>
  <w:num w:numId="4" w16cid:durableId="463890486">
    <w:abstractNumId w:val="49"/>
  </w:num>
  <w:num w:numId="5" w16cid:durableId="605885610">
    <w:abstractNumId w:val="41"/>
  </w:num>
  <w:num w:numId="6" w16cid:durableId="1949435154">
    <w:abstractNumId w:val="33"/>
  </w:num>
  <w:num w:numId="7" w16cid:durableId="948776107">
    <w:abstractNumId w:val="32"/>
  </w:num>
  <w:num w:numId="8" w16cid:durableId="1279801529">
    <w:abstractNumId w:val="8"/>
  </w:num>
  <w:num w:numId="9" w16cid:durableId="1119880745">
    <w:abstractNumId w:val="3"/>
  </w:num>
  <w:num w:numId="10" w16cid:durableId="264075875">
    <w:abstractNumId w:val="2"/>
  </w:num>
  <w:num w:numId="11" w16cid:durableId="1846437607">
    <w:abstractNumId w:val="1"/>
  </w:num>
  <w:num w:numId="12" w16cid:durableId="1745907915">
    <w:abstractNumId w:val="0"/>
  </w:num>
  <w:num w:numId="13" w16cid:durableId="1681272762">
    <w:abstractNumId w:val="9"/>
  </w:num>
  <w:num w:numId="14" w16cid:durableId="932709650">
    <w:abstractNumId w:val="7"/>
  </w:num>
  <w:num w:numId="15" w16cid:durableId="1077899186">
    <w:abstractNumId w:val="6"/>
  </w:num>
  <w:num w:numId="16" w16cid:durableId="1383480797">
    <w:abstractNumId w:val="5"/>
  </w:num>
  <w:num w:numId="17" w16cid:durableId="417099350">
    <w:abstractNumId w:val="4"/>
  </w:num>
  <w:num w:numId="18" w16cid:durableId="900284953">
    <w:abstractNumId w:val="27"/>
  </w:num>
  <w:num w:numId="19" w16cid:durableId="1953976060">
    <w:abstractNumId w:val="44"/>
  </w:num>
  <w:num w:numId="20" w16cid:durableId="1869219976">
    <w:abstractNumId w:val="29"/>
  </w:num>
  <w:num w:numId="21" w16cid:durableId="202719206">
    <w:abstractNumId w:val="42"/>
  </w:num>
  <w:num w:numId="22" w16cid:durableId="167837706">
    <w:abstractNumId w:val="28"/>
  </w:num>
  <w:num w:numId="23" w16cid:durableId="1044451402">
    <w:abstractNumId w:val="48"/>
  </w:num>
  <w:num w:numId="24" w16cid:durableId="654575837">
    <w:abstractNumId w:val="24"/>
  </w:num>
  <w:num w:numId="25" w16cid:durableId="802818317">
    <w:abstractNumId w:val="43"/>
  </w:num>
  <w:num w:numId="26" w16cid:durableId="1976520331">
    <w:abstractNumId w:val="15"/>
  </w:num>
  <w:num w:numId="27" w16cid:durableId="1889489901">
    <w:abstractNumId w:val="13"/>
  </w:num>
  <w:num w:numId="28" w16cid:durableId="1931619948">
    <w:abstractNumId w:val="37"/>
  </w:num>
  <w:num w:numId="29" w16cid:durableId="461926205">
    <w:abstractNumId w:val="40"/>
  </w:num>
  <w:num w:numId="30" w16cid:durableId="1390298368">
    <w:abstractNumId w:val="25"/>
  </w:num>
  <w:num w:numId="31" w16cid:durableId="1357073228">
    <w:abstractNumId w:val="14"/>
  </w:num>
  <w:num w:numId="32" w16cid:durableId="1421945257">
    <w:abstractNumId w:val="11"/>
  </w:num>
  <w:num w:numId="33" w16cid:durableId="77142924">
    <w:abstractNumId w:val="21"/>
  </w:num>
  <w:num w:numId="34" w16cid:durableId="123352913">
    <w:abstractNumId w:val="16"/>
  </w:num>
  <w:num w:numId="35" w16cid:durableId="1743986077">
    <w:abstractNumId w:val="19"/>
  </w:num>
  <w:num w:numId="36" w16cid:durableId="1227454120">
    <w:abstractNumId w:val="23"/>
  </w:num>
  <w:num w:numId="37" w16cid:durableId="13231955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7153036">
    <w:abstractNumId w:val="20"/>
  </w:num>
  <w:num w:numId="39" w16cid:durableId="356202310">
    <w:abstractNumId w:val="30"/>
  </w:num>
  <w:num w:numId="40" w16cid:durableId="1199781318">
    <w:abstractNumId w:val="39"/>
  </w:num>
  <w:num w:numId="41" w16cid:durableId="1037782175">
    <w:abstractNumId w:val="36"/>
  </w:num>
  <w:num w:numId="42" w16cid:durableId="879896953">
    <w:abstractNumId w:val="12"/>
  </w:num>
  <w:num w:numId="43" w16cid:durableId="978920591">
    <w:abstractNumId w:val="18"/>
  </w:num>
  <w:num w:numId="44" w16cid:durableId="1013187308">
    <w:abstractNumId w:val="34"/>
  </w:num>
  <w:num w:numId="45" w16cid:durableId="993800424">
    <w:abstractNumId w:val="17"/>
  </w:num>
  <w:num w:numId="46" w16cid:durableId="28263635">
    <w:abstractNumId w:val="31"/>
  </w:num>
  <w:num w:numId="47" w16cid:durableId="284700024">
    <w:abstractNumId w:val="35"/>
  </w:num>
  <w:num w:numId="48" w16cid:durableId="576747238">
    <w:abstractNumId w:val="47"/>
  </w:num>
  <w:num w:numId="49" w16cid:durableId="766996905">
    <w:abstractNumId w:val="22"/>
  </w:num>
  <w:num w:numId="50" w16cid:durableId="5651892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67"/>
    <w:rsid w:val="00001196"/>
    <w:rsid w:val="00004B2F"/>
    <w:rsid w:val="00011552"/>
    <w:rsid w:val="00016CB1"/>
    <w:rsid w:val="00022AAB"/>
    <w:rsid w:val="00022E0B"/>
    <w:rsid w:val="0002324B"/>
    <w:rsid w:val="000308E5"/>
    <w:rsid w:val="00032A71"/>
    <w:rsid w:val="00036A59"/>
    <w:rsid w:val="00040CE9"/>
    <w:rsid w:val="00042EAB"/>
    <w:rsid w:val="00043BD3"/>
    <w:rsid w:val="00043C10"/>
    <w:rsid w:val="0005183B"/>
    <w:rsid w:val="00055A51"/>
    <w:rsid w:val="00056122"/>
    <w:rsid w:val="00056D48"/>
    <w:rsid w:val="00061018"/>
    <w:rsid w:val="000700A5"/>
    <w:rsid w:val="0007158F"/>
    <w:rsid w:val="00073D14"/>
    <w:rsid w:val="000838C3"/>
    <w:rsid w:val="00085600"/>
    <w:rsid w:val="00093FB1"/>
    <w:rsid w:val="00096358"/>
    <w:rsid w:val="00097086"/>
    <w:rsid w:val="000A32F2"/>
    <w:rsid w:val="000A4AD9"/>
    <w:rsid w:val="000A7509"/>
    <w:rsid w:val="000B0442"/>
    <w:rsid w:val="000C52DA"/>
    <w:rsid w:val="000D01BB"/>
    <w:rsid w:val="000D5A57"/>
    <w:rsid w:val="000D7DF0"/>
    <w:rsid w:val="000E0ED7"/>
    <w:rsid w:val="000E1545"/>
    <w:rsid w:val="000E191A"/>
    <w:rsid w:val="000E489F"/>
    <w:rsid w:val="000E6118"/>
    <w:rsid w:val="000F09C4"/>
    <w:rsid w:val="000F33E1"/>
    <w:rsid w:val="000F70E3"/>
    <w:rsid w:val="00100291"/>
    <w:rsid w:val="00100AE2"/>
    <w:rsid w:val="0010473A"/>
    <w:rsid w:val="00104829"/>
    <w:rsid w:val="00110F54"/>
    <w:rsid w:val="00112ABC"/>
    <w:rsid w:val="00112ED3"/>
    <w:rsid w:val="0011496C"/>
    <w:rsid w:val="0011705B"/>
    <w:rsid w:val="001209BB"/>
    <w:rsid w:val="00123B82"/>
    <w:rsid w:val="001261BE"/>
    <w:rsid w:val="00127CAB"/>
    <w:rsid w:val="001302A1"/>
    <w:rsid w:val="00130FDC"/>
    <w:rsid w:val="00131F74"/>
    <w:rsid w:val="00137569"/>
    <w:rsid w:val="00146ECD"/>
    <w:rsid w:val="00150458"/>
    <w:rsid w:val="00152985"/>
    <w:rsid w:val="00153302"/>
    <w:rsid w:val="001536FB"/>
    <w:rsid w:val="00154A12"/>
    <w:rsid w:val="00162887"/>
    <w:rsid w:val="00176C70"/>
    <w:rsid w:val="00193847"/>
    <w:rsid w:val="00195105"/>
    <w:rsid w:val="001A1A86"/>
    <w:rsid w:val="001A46A0"/>
    <w:rsid w:val="001A54FE"/>
    <w:rsid w:val="001A604F"/>
    <w:rsid w:val="001B2865"/>
    <w:rsid w:val="001B4150"/>
    <w:rsid w:val="001B55E3"/>
    <w:rsid w:val="001C0513"/>
    <w:rsid w:val="001D2E03"/>
    <w:rsid w:val="001D3BEC"/>
    <w:rsid w:val="001E340D"/>
    <w:rsid w:val="001E4BBF"/>
    <w:rsid w:val="001F3516"/>
    <w:rsid w:val="001F3AFD"/>
    <w:rsid w:val="001F5824"/>
    <w:rsid w:val="001F6CBF"/>
    <w:rsid w:val="002018B7"/>
    <w:rsid w:val="002027A7"/>
    <w:rsid w:val="002055F3"/>
    <w:rsid w:val="002070B7"/>
    <w:rsid w:val="0021067D"/>
    <w:rsid w:val="00211F97"/>
    <w:rsid w:val="0021457B"/>
    <w:rsid w:val="00217A47"/>
    <w:rsid w:val="00220319"/>
    <w:rsid w:val="00220D42"/>
    <w:rsid w:val="002210BE"/>
    <w:rsid w:val="002239DE"/>
    <w:rsid w:val="0022580F"/>
    <w:rsid w:val="00226567"/>
    <w:rsid w:val="00226B2F"/>
    <w:rsid w:val="00237714"/>
    <w:rsid w:val="00244055"/>
    <w:rsid w:val="00244BFF"/>
    <w:rsid w:val="00246F27"/>
    <w:rsid w:val="00247E0C"/>
    <w:rsid w:val="00253505"/>
    <w:rsid w:val="00254674"/>
    <w:rsid w:val="00254A3B"/>
    <w:rsid w:val="00257424"/>
    <w:rsid w:val="00257597"/>
    <w:rsid w:val="002614FA"/>
    <w:rsid w:val="00270C61"/>
    <w:rsid w:val="00280740"/>
    <w:rsid w:val="0028593B"/>
    <w:rsid w:val="0028624F"/>
    <w:rsid w:val="002871A8"/>
    <w:rsid w:val="00293894"/>
    <w:rsid w:val="002977FB"/>
    <w:rsid w:val="002A226B"/>
    <w:rsid w:val="002A286B"/>
    <w:rsid w:val="002A32C3"/>
    <w:rsid w:val="002C1586"/>
    <w:rsid w:val="002C2C06"/>
    <w:rsid w:val="002D243B"/>
    <w:rsid w:val="002D3DD7"/>
    <w:rsid w:val="002D40CD"/>
    <w:rsid w:val="002D4556"/>
    <w:rsid w:val="002D52AF"/>
    <w:rsid w:val="002D73B7"/>
    <w:rsid w:val="002E0114"/>
    <w:rsid w:val="002E050B"/>
    <w:rsid w:val="002E2379"/>
    <w:rsid w:val="002E2439"/>
    <w:rsid w:val="002E4C95"/>
    <w:rsid w:val="002E6E3F"/>
    <w:rsid w:val="002E7AE0"/>
    <w:rsid w:val="002F0CB1"/>
    <w:rsid w:val="002F1BDE"/>
    <w:rsid w:val="002F414A"/>
    <w:rsid w:val="002F696B"/>
    <w:rsid w:val="002F7473"/>
    <w:rsid w:val="003004C8"/>
    <w:rsid w:val="00300B9E"/>
    <w:rsid w:val="0031018E"/>
    <w:rsid w:val="00314902"/>
    <w:rsid w:val="00315CDA"/>
    <w:rsid w:val="00316856"/>
    <w:rsid w:val="0032383B"/>
    <w:rsid w:val="00324478"/>
    <w:rsid w:val="00326DDB"/>
    <w:rsid w:val="003317EE"/>
    <w:rsid w:val="003420B2"/>
    <w:rsid w:val="003434E3"/>
    <w:rsid w:val="003464D7"/>
    <w:rsid w:val="00350948"/>
    <w:rsid w:val="00362E72"/>
    <w:rsid w:val="00376499"/>
    <w:rsid w:val="00387B23"/>
    <w:rsid w:val="00390387"/>
    <w:rsid w:val="0039293F"/>
    <w:rsid w:val="0039445F"/>
    <w:rsid w:val="00394482"/>
    <w:rsid w:val="003978D2"/>
    <w:rsid w:val="003A63A4"/>
    <w:rsid w:val="003B2D81"/>
    <w:rsid w:val="003B5A02"/>
    <w:rsid w:val="003B6BAE"/>
    <w:rsid w:val="003B7D6D"/>
    <w:rsid w:val="003C1F7C"/>
    <w:rsid w:val="003C530E"/>
    <w:rsid w:val="003D0CE2"/>
    <w:rsid w:val="003D2021"/>
    <w:rsid w:val="003D2853"/>
    <w:rsid w:val="003D4757"/>
    <w:rsid w:val="003D53C3"/>
    <w:rsid w:val="003D79A0"/>
    <w:rsid w:val="003E0FF1"/>
    <w:rsid w:val="003E10D8"/>
    <w:rsid w:val="003E2788"/>
    <w:rsid w:val="003E2EB1"/>
    <w:rsid w:val="003F044B"/>
    <w:rsid w:val="003F4EE6"/>
    <w:rsid w:val="003F6874"/>
    <w:rsid w:val="00402262"/>
    <w:rsid w:val="00411A32"/>
    <w:rsid w:val="00412223"/>
    <w:rsid w:val="0041430C"/>
    <w:rsid w:val="0042642C"/>
    <w:rsid w:val="00427425"/>
    <w:rsid w:val="004277C0"/>
    <w:rsid w:val="004306DD"/>
    <w:rsid w:val="00436B1A"/>
    <w:rsid w:val="004447A5"/>
    <w:rsid w:val="00444FDB"/>
    <w:rsid w:val="00453BCC"/>
    <w:rsid w:val="00453E2B"/>
    <w:rsid w:val="00454735"/>
    <w:rsid w:val="0045673A"/>
    <w:rsid w:val="004571B3"/>
    <w:rsid w:val="004615BE"/>
    <w:rsid w:val="004624D7"/>
    <w:rsid w:val="00462824"/>
    <w:rsid w:val="00464094"/>
    <w:rsid w:val="00464CF3"/>
    <w:rsid w:val="00470A66"/>
    <w:rsid w:val="00470DA8"/>
    <w:rsid w:val="00473B2A"/>
    <w:rsid w:val="00487886"/>
    <w:rsid w:val="00491838"/>
    <w:rsid w:val="0049376B"/>
    <w:rsid w:val="00494B8C"/>
    <w:rsid w:val="004A1982"/>
    <w:rsid w:val="004A4F5D"/>
    <w:rsid w:val="004B2D32"/>
    <w:rsid w:val="004B55A6"/>
    <w:rsid w:val="004B75A6"/>
    <w:rsid w:val="004C0AF3"/>
    <w:rsid w:val="004C52BA"/>
    <w:rsid w:val="004D0245"/>
    <w:rsid w:val="004D1D9F"/>
    <w:rsid w:val="004D41B4"/>
    <w:rsid w:val="004D41DA"/>
    <w:rsid w:val="004D68D4"/>
    <w:rsid w:val="004D7516"/>
    <w:rsid w:val="004D7BDA"/>
    <w:rsid w:val="004E094B"/>
    <w:rsid w:val="004E12F7"/>
    <w:rsid w:val="004E241D"/>
    <w:rsid w:val="004E7377"/>
    <w:rsid w:val="004E7D86"/>
    <w:rsid w:val="004F1229"/>
    <w:rsid w:val="004F1C6C"/>
    <w:rsid w:val="004F64E2"/>
    <w:rsid w:val="004F778B"/>
    <w:rsid w:val="004F7E8E"/>
    <w:rsid w:val="00511A23"/>
    <w:rsid w:val="005161FA"/>
    <w:rsid w:val="0052018C"/>
    <w:rsid w:val="00524CC3"/>
    <w:rsid w:val="00525EC1"/>
    <w:rsid w:val="00533706"/>
    <w:rsid w:val="00533AEA"/>
    <w:rsid w:val="005401DA"/>
    <w:rsid w:val="00542CF1"/>
    <w:rsid w:val="005639C0"/>
    <w:rsid w:val="00572ADD"/>
    <w:rsid w:val="00580D7A"/>
    <w:rsid w:val="00584B05"/>
    <w:rsid w:val="00593AF2"/>
    <w:rsid w:val="00593EEE"/>
    <w:rsid w:val="005A0BF9"/>
    <w:rsid w:val="005A61B1"/>
    <w:rsid w:val="005A6B30"/>
    <w:rsid w:val="005B340E"/>
    <w:rsid w:val="005B63F3"/>
    <w:rsid w:val="005D45DE"/>
    <w:rsid w:val="005D5685"/>
    <w:rsid w:val="005D6D9F"/>
    <w:rsid w:val="005D767F"/>
    <w:rsid w:val="005D7ABA"/>
    <w:rsid w:val="005E401F"/>
    <w:rsid w:val="005F0D33"/>
    <w:rsid w:val="005F1CCC"/>
    <w:rsid w:val="005F2BB2"/>
    <w:rsid w:val="005F4E9C"/>
    <w:rsid w:val="005F7A52"/>
    <w:rsid w:val="00605CD3"/>
    <w:rsid w:val="0061047F"/>
    <w:rsid w:val="00613748"/>
    <w:rsid w:val="006177BC"/>
    <w:rsid w:val="00622A02"/>
    <w:rsid w:val="00623BA1"/>
    <w:rsid w:val="00627AB5"/>
    <w:rsid w:val="0063336B"/>
    <w:rsid w:val="00635F51"/>
    <w:rsid w:val="00637B67"/>
    <w:rsid w:val="00641540"/>
    <w:rsid w:val="0065077A"/>
    <w:rsid w:val="00651C11"/>
    <w:rsid w:val="00651DAA"/>
    <w:rsid w:val="00652EDD"/>
    <w:rsid w:val="00656F97"/>
    <w:rsid w:val="00657E31"/>
    <w:rsid w:val="00660C7A"/>
    <w:rsid w:val="00661BF3"/>
    <w:rsid w:val="006626D6"/>
    <w:rsid w:val="006663A4"/>
    <w:rsid w:val="0067582B"/>
    <w:rsid w:val="00676E72"/>
    <w:rsid w:val="00684383"/>
    <w:rsid w:val="006853B8"/>
    <w:rsid w:val="00685946"/>
    <w:rsid w:val="00695EFB"/>
    <w:rsid w:val="006A254E"/>
    <w:rsid w:val="006A3A71"/>
    <w:rsid w:val="006A7B7E"/>
    <w:rsid w:val="006B10CE"/>
    <w:rsid w:val="006B285F"/>
    <w:rsid w:val="006B61A8"/>
    <w:rsid w:val="006C3D2D"/>
    <w:rsid w:val="006C43F4"/>
    <w:rsid w:val="006C535B"/>
    <w:rsid w:val="006C66D8"/>
    <w:rsid w:val="006D3609"/>
    <w:rsid w:val="006D7588"/>
    <w:rsid w:val="006E2D3F"/>
    <w:rsid w:val="006E5452"/>
    <w:rsid w:val="006E6342"/>
    <w:rsid w:val="006F3341"/>
    <w:rsid w:val="006F4091"/>
    <w:rsid w:val="00707E67"/>
    <w:rsid w:val="0071194C"/>
    <w:rsid w:val="00713781"/>
    <w:rsid w:val="007224D7"/>
    <w:rsid w:val="00723AFC"/>
    <w:rsid w:val="00723F16"/>
    <w:rsid w:val="00724313"/>
    <w:rsid w:val="007263D8"/>
    <w:rsid w:val="0073010E"/>
    <w:rsid w:val="007338EB"/>
    <w:rsid w:val="00733905"/>
    <w:rsid w:val="00736F0E"/>
    <w:rsid w:val="00741D52"/>
    <w:rsid w:val="00744EB3"/>
    <w:rsid w:val="007512CC"/>
    <w:rsid w:val="0075678C"/>
    <w:rsid w:val="007600C7"/>
    <w:rsid w:val="00761B48"/>
    <w:rsid w:val="007657D5"/>
    <w:rsid w:val="00767269"/>
    <w:rsid w:val="00770123"/>
    <w:rsid w:val="00771FF2"/>
    <w:rsid w:val="00775803"/>
    <w:rsid w:val="00775B82"/>
    <w:rsid w:val="00780648"/>
    <w:rsid w:val="007828F0"/>
    <w:rsid w:val="00793DBF"/>
    <w:rsid w:val="007B05A8"/>
    <w:rsid w:val="007B3088"/>
    <w:rsid w:val="007C6CBB"/>
    <w:rsid w:val="007D316A"/>
    <w:rsid w:val="007D60C1"/>
    <w:rsid w:val="007D68B4"/>
    <w:rsid w:val="007E2306"/>
    <w:rsid w:val="007E29BA"/>
    <w:rsid w:val="007E44BC"/>
    <w:rsid w:val="007F0B6C"/>
    <w:rsid w:val="007F17BF"/>
    <w:rsid w:val="007F2569"/>
    <w:rsid w:val="00801292"/>
    <w:rsid w:val="00803CBE"/>
    <w:rsid w:val="00806EF9"/>
    <w:rsid w:val="008155AC"/>
    <w:rsid w:val="00821EC9"/>
    <w:rsid w:val="00824330"/>
    <w:rsid w:val="00825D9F"/>
    <w:rsid w:val="008325C6"/>
    <w:rsid w:val="008342D0"/>
    <w:rsid w:val="00862995"/>
    <w:rsid w:val="00863F1E"/>
    <w:rsid w:val="008659DC"/>
    <w:rsid w:val="00865F4C"/>
    <w:rsid w:val="00871091"/>
    <w:rsid w:val="00871AB6"/>
    <w:rsid w:val="008747C3"/>
    <w:rsid w:val="00875CF3"/>
    <w:rsid w:val="00880BA2"/>
    <w:rsid w:val="00881926"/>
    <w:rsid w:val="008845DA"/>
    <w:rsid w:val="00887402"/>
    <w:rsid w:val="00893371"/>
    <w:rsid w:val="00894BBD"/>
    <w:rsid w:val="008A29E2"/>
    <w:rsid w:val="008A49B9"/>
    <w:rsid w:val="008A5008"/>
    <w:rsid w:val="008B0E2F"/>
    <w:rsid w:val="008B4211"/>
    <w:rsid w:val="008B494F"/>
    <w:rsid w:val="008B69EF"/>
    <w:rsid w:val="008C68E3"/>
    <w:rsid w:val="008D6104"/>
    <w:rsid w:val="008D6866"/>
    <w:rsid w:val="008D729C"/>
    <w:rsid w:val="008E4F8B"/>
    <w:rsid w:val="008E736F"/>
    <w:rsid w:val="008F0484"/>
    <w:rsid w:val="008F5BC4"/>
    <w:rsid w:val="0092395E"/>
    <w:rsid w:val="009251F9"/>
    <w:rsid w:val="009279AE"/>
    <w:rsid w:val="009305BC"/>
    <w:rsid w:val="00932186"/>
    <w:rsid w:val="00932513"/>
    <w:rsid w:val="00936463"/>
    <w:rsid w:val="00941166"/>
    <w:rsid w:val="009442E4"/>
    <w:rsid w:val="009448BF"/>
    <w:rsid w:val="009459A2"/>
    <w:rsid w:val="009459F1"/>
    <w:rsid w:val="00945AAB"/>
    <w:rsid w:val="00954691"/>
    <w:rsid w:val="00956570"/>
    <w:rsid w:val="00963E12"/>
    <w:rsid w:val="009653EA"/>
    <w:rsid w:val="00967977"/>
    <w:rsid w:val="00971CF2"/>
    <w:rsid w:val="009779B2"/>
    <w:rsid w:val="00991C1A"/>
    <w:rsid w:val="0099250A"/>
    <w:rsid w:val="00995611"/>
    <w:rsid w:val="009957C6"/>
    <w:rsid w:val="00996583"/>
    <w:rsid w:val="00997418"/>
    <w:rsid w:val="009A09F4"/>
    <w:rsid w:val="009A1104"/>
    <w:rsid w:val="009A72B5"/>
    <w:rsid w:val="009B2F1E"/>
    <w:rsid w:val="009B389F"/>
    <w:rsid w:val="009B476F"/>
    <w:rsid w:val="009B4D66"/>
    <w:rsid w:val="009B4D75"/>
    <w:rsid w:val="009B5A30"/>
    <w:rsid w:val="009B7B77"/>
    <w:rsid w:val="009B7B80"/>
    <w:rsid w:val="009C5D57"/>
    <w:rsid w:val="009D0D27"/>
    <w:rsid w:val="009D3947"/>
    <w:rsid w:val="009D7BDD"/>
    <w:rsid w:val="009E0C51"/>
    <w:rsid w:val="009E182B"/>
    <w:rsid w:val="009E2B17"/>
    <w:rsid w:val="009E4366"/>
    <w:rsid w:val="009F0967"/>
    <w:rsid w:val="009F1A68"/>
    <w:rsid w:val="009F45B4"/>
    <w:rsid w:val="009F66D9"/>
    <w:rsid w:val="00A02A99"/>
    <w:rsid w:val="00A03CC0"/>
    <w:rsid w:val="00A0609F"/>
    <w:rsid w:val="00A104ED"/>
    <w:rsid w:val="00A133D2"/>
    <w:rsid w:val="00A16A51"/>
    <w:rsid w:val="00A178BA"/>
    <w:rsid w:val="00A21860"/>
    <w:rsid w:val="00A2465A"/>
    <w:rsid w:val="00A252CD"/>
    <w:rsid w:val="00A27AF4"/>
    <w:rsid w:val="00A30781"/>
    <w:rsid w:val="00A3229D"/>
    <w:rsid w:val="00A478D5"/>
    <w:rsid w:val="00A53A28"/>
    <w:rsid w:val="00A60C61"/>
    <w:rsid w:val="00A60DA3"/>
    <w:rsid w:val="00A60E37"/>
    <w:rsid w:val="00A65359"/>
    <w:rsid w:val="00A67FE8"/>
    <w:rsid w:val="00A70F35"/>
    <w:rsid w:val="00A71500"/>
    <w:rsid w:val="00A71A7E"/>
    <w:rsid w:val="00A77E84"/>
    <w:rsid w:val="00A84910"/>
    <w:rsid w:val="00A9155A"/>
    <w:rsid w:val="00A91C89"/>
    <w:rsid w:val="00A9369E"/>
    <w:rsid w:val="00AA07BB"/>
    <w:rsid w:val="00AA1A26"/>
    <w:rsid w:val="00AB0C9B"/>
    <w:rsid w:val="00AB38F4"/>
    <w:rsid w:val="00AB77F0"/>
    <w:rsid w:val="00AC3677"/>
    <w:rsid w:val="00AC3CA4"/>
    <w:rsid w:val="00AC470E"/>
    <w:rsid w:val="00AC6978"/>
    <w:rsid w:val="00AD152E"/>
    <w:rsid w:val="00AD227F"/>
    <w:rsid w:val="00AD59CB"/>
    <w:rsid w:val="00AE2124"/>
    <w:rsid w:val="00AE269A"/>
    <w:rsid w:val="00AE32E4"/>
    <w:rsid w:val="00AE3FF4"/>
    <w:rsid w:val="00AE6815"/>
    <w:rsid w:val="00AE7589"/>
    <w:rsid w:val="00B005AB"/>
    <w:rsid w:val="00B0090E"/>
    <w:rsid w:val="00B00B14"/>
    <w:rsid w:val="00B01259"/>
    <w:rsid w:val="00B047EC"/>
    <w:rsid w:val="00B16353"/>
    <w:rsid w:val="00B23297"/>
    <w:rsid w:val="00B25DAC"/>
    <w:rsid w:val="00B31B9D"/>
    <w:rsid w:val="00B3626A"/>
    <w:rsid w:val="00B45A63"/>
    <w:rsid w:val="00B469C8"/>
    <w:rsid w:val="00B5104D"/>
    <w:rsid w:val="00B5348D"/>
    <w:rsid w:val="00B574AF"/>
    <w:rsid w:val="00B624E8"/>
    <w:rsid w:val="00B63A98"/>
    <w:rsid w:val="00B659F0"/>
    <w:rsid w:val="00B73B87"/>
    <w:rsid w:val="00B76453"/>
    <w:rsid w:val="00B77986"/>
    <w:rsid w:val="00B8488F"/>
    <w:rsid w:val="00B86BCD"/>
    <w:rsid w:val="00B96968"/>
    <w:rsid w:val="00B96F87"/>
    <w:rsid w:val="00BA25AE"/>
    <w:rsid w:val="00BA33EB"/>
    <w:rsid w:val="00BA3813"/>
    <w:rsid w:val="00BB3CFA"/>
    <w:rsid w:val="00BC2CF0"/>
    <w:rsid w:val="00BD02EA"/>
    <w:rsid w:val="00BD7EB7"/>
    <w:rsid w:val="00BE14A1"/>
    <w:rsid w:val="00BE40BE"/>
    <w:rsid w:val="00BE584D"/>
    <w:rsid w:val="00BF721F"/>
    <w:rsid w:val="00C10851"/>
    <w:rsid w:val="00C13AE0"/>
    <w:rsid w:val="00C14832"/>
    <w:rsid w:val="00C15319"/>
    <w:rsid w:val="00C21AB9"/>
    <w:rsid w:val="00C24552"/>
    <w:rsid w:val="00C25323"/>
    <w:rsid w:val="00C27FF1"/>
    <w:rsid w:val="00C33EC4"/>
    <w:rsid w:val="00C34BD6"/>
    <w:rsid w:val="00C52368"/>
    <w:rsid w:val="00C5402A"/>
    <w:rsid w:val="00C545C0"/>
    <w:rsid w:val="00C563CB"/>
    <w:rsid w:val="00C57585"/>
    <w:rsid w:val="00C63948"/>
    <w:rsid w:val="00C63952"/>
    <w:rsid w:val="00C63B26"/>
    <w:rsid w:val="00C64474"/>
    <w:rsid w:val="00C66BDB"/>
    <w:rsid w:val="00C72A7F"/>
    <w:rsid w:val="00C80CB2"/>
    <w:rsid w:val="00C8197E"/>
    <w:rsid w:val="00C86EEA"/>
    <w:rsid w:val="00C87DFB"/>
    <w:rsid w:val="00C90D21"/>
    <w:rsid w:val="00C90F14"/>
    <w:rsid w:val="00C95CA6"/>
    <w:rsid w:val="00C96B9B"/>
    <w:rsid w:val="00CA0BCE"/>
    <w:rsid w:val="00CA155E"/>
    <w:rsid w:val="00CA3720"/>
    <w:rsid w:val="00CA4F99"/>
    <w:rsid w:val="00CA6E89"/>
    <w:rsid w:val="00CB0316"/>
    <w:rsid w:val="00CB2D84"/>
    <w:rsid w:val="00CB3CDB"/>
    <w:rsid w:val="00CB7115"/>
    <w:rsid w:val="00CB7F90"/>
    <w:rsid w:val="00CC0F19"/>
    <w:rsid w:val="00CC14F7"/>
    <w:rsid w:val="00CD1B0C"/>
    <w:rsid w:val="00CD1CF4"/>
    <w:rsid w:val="00CD2E79"/>
    <w:rsid w:val="00CD46B4"/>
    <w:rsid w:val="00CD7513"/>
    <w:rsid w:val="00CE0D74"/>
    <w:rsid w:val="00CE10CF"/>
    <w:rsid w:val="00CE1362"/>
    <w:rsid w:val="00CE2D7D"/>
    <w:rsid w:val="00CE4140"/>
    <w:rsid w:val="00CE5611"/>
    <w:rsid w:val="00CE5A17"/>
    <w:rsid w:val="00CE70B8"/>
    <w:rsid w:val="00CF2C62"/>
    <w:rsid w:val="00CF63C9"/>
    <w:rsid w:val="00CF6E10"/>
    <w:rsid w:val="00D02AEC"/>
    <w:rsid w:val="00D0570D"/>
    <w:rsid w:val="00D100C2"/>
    <w:rsid w:val="00D11756"/>
    <w:rsid w:val="00D12F17"/>
    <w:rsid w:val="00D13127"/>
    <w:rsid w:val="00D14128"/>
    <w:rsid w:val="00D37860"/>
    <w:rsid w:val="00D450CC"/>
    <w:rsid w:val="00D45A3A"/>
    <w:rsid w:val="00D464F8"/>
    <w:rsid w:val="00D51196"/>
    <w:rsid w:val="00D57C76"/>
    <w:rsid w:val="00D61605"/>
    <w:rsid w:val="00D6197E"/>
    <w:rsid w:val="00D6498A"/>
    <w:rsid w:val="00D74894"/>
    <w:rsid w:val="00D75A05"/>
    <w:rsid w:val="00D7655B"/>
    <w:rsid w:val="00D76CDF"/>
    <w:rsid w:val="00D827F8"/>
    <w:rsid w:val="00D90018"/>
    <w:rsid w:val="00DA1F8F"/>
    <w:rsid w:val="00DA363D"/>
    <w:rsid w:val="00DA4869"/>
    <w:rsid w:val="00DB0DA1"/>
    <w:rsid w:val="00DB2D66"/>
    <w:rsid w:val="00DB3523"/>
    <w:rsid w:val="00DC0ABD"/>
    <w:rsid w:val="00DC4D14"/>
    <w:rsid w:val="00DD0C27"/>
    <w:rsid w:val="00DD1CC1"/>
    <w:rsid w:val="00DD46D3"/>
    <w:rsid w:val="00DD61E0"/>
    <w:rsid w:val="00DD7465"/>
    <w:rsid w:val="00DE39D2"/>
    <w:rsid w:val="00DE512A"/>
    <w:rsid w:val="00DF0B05"/>
    <w:rsid w:val="00E047FA"/>
    <w:rsid w:val="00E04F79"/>
    <w:rsid w:val="00E05831"/>
    <w:rsid w:val="00E10C46"/>
    <w:rsid w:val="00E11624"/>
    <w:rsid w:val="00E13161"/>
    <w:rsid w:val="00E1468A"/>
    <w:rsid w:val="00E16C14"/>
    <w:rsid w:val="00E24732"/>
    <w:rsid w:val="00E26CE6"/>
    <w:rsid w:val="00E3495B"/>
    <w:rsid w:val="00E349B7"/>
    <w:rsid w:val="00E35164"/>
    <w:rsid w:val="00E446C6"/>
    <w:rsid w:val="00E447D5"/>
    <w:rsid w:val="00E4553F"/>
    <w:rsid w:val="00E548CF"/>
    <w:rsid w:val="00E550EB"/>
    <w:rsid w:val="00E56D1B"/>
    <w:rsid w:val="00E60092"/>
    <w:rsid w:val="00E60B39"/>
    <w:rsid w:val="00E62B9D"/>
    <w:rsid w:val="00E70896"/>
    <w:rsid w:val="00E71601"/>
    <w:rsid w:val="00E801D1"/>
    <w:rsid w:val="00E8190D"/>
    <w:rsid w:val="00E82279"/>
    <w:rsid w:val="00E8435E"/>
    <w:rsid w:val="00E84D4A"/>
    <w:rsid w:val="00E9082C"/>
    <w:rsid w:val="00E918D5"/>
    <w:rsid w:val="00E939A5"/>
    <w:rsid w:val="00E96342"/>
    <w:rsid w:val="00E966EE"/>
    <w:rsid w:val="00E97A96"/>
    <w:rsid w:val="00EA0843"/>
    <w:rsid w:val="00EA67EE"/>
    <w:rsid w:val="00EB17BA"/>
    <w:rsid w:val="00EB5F9B"/>
    <w:rsid w:val="00EC0F3C"/>
    <w:rsid w:val="00EC1010"/>
    <w:rsid w:val="00EC4847"/>
    <w:rsid w:val="00EC5570"/>
    <w:rsid w:val="00EC7184"/>
    <w:rsid w:val="00ED54AA"/>
    <w:rsid w:val="00ED6E30"/>
    <w:rsid w:val="00EE1EA7"/>
    <w:rsid w:val="00EE2728"/>
    <w:rsid w:val="00EE46BD"/>
    <w:rsid w:val="00EE4B60"/>
    <w:rsid w:val="00EE5A1A"/>
    <w:rsid w:val="00EE5A7A"/>
    <w:rsid w:val="00EE6AAE"/>
    <w:rsid w:val="00EE6C70"/>
    <w:rsid w:val="00EF3002"/>
    <w:rsid w:val="00EF43B8"/>
    <w:rsid w:val="00EF65B2"/>
    <w:rsid w:val="00F02349"/>
    <w:rsid w:val="00F065A5"/>
    <w:rsid w:val="00F1009F"/>
    <w:rsid w:val="00F12BA7"/>
    <w:rsid w:val="00F1553C"/>
    <w:rsid w:val="00F164DA"/>
    <w:rsid w:val="00F21B75"/>
    <w:rsid w:val="00F24080"/>
    <w:rsid w:val="00F26FE5"/>
    <w:rsid w:val="00F31FCA"/>
    <w:rsid w:val="00F3209F"/>
    <w:rsid w:val="00F336A2"/>
    <w:rsid w:val="00F345FC"/>
    <w:rsid w:val="00F4581B"/>
    <w:rsid w:val="00F45CFD"/>
    <w:rsid w:val="00F47334"/>
    <w:rsid w:val="00F47EB0"/>
    <w:rsid w:val="00F54E34"/>
    <w:rsid w:val="00F5697F"/>
    <w:rsid w:val="00F63B1D"/>
    <w:rsid w:val="00F63DA1"/>
    <w:rsid w:val="00F70FC2"/>
    <w:rsid w:val="00F74E7B"/>
    <w:rsid w:val="00F752C5"/>
    <w:rsid w:val="00F76922"/>
    <w:rsid w:val="00F83B8E"/>
    <w:rsid w:val="00F93A3E"/>
    <w:rsid w:val="00F942E6"/>
    <w:rsid w:val="00F95BD0"/>
    <w:rsid w:val="00F95D27"/>
    <w:rsid w:val="00FA3A70"/>
    <w:rsid w:val="00FA782E"/>
    <w:rsid w:val="00FA7BDD"/>
    <w:rsid w:val="00FC159F"/>
    <w:rsid w:val="00FD03A7"/>
    <w:rsid w:val="00FD09EB"/>
    <w:rsid w:val="00FD20B0"/>
    <w:rsid w:val="00FE27AD"/>
    <w:rsid w:val="00FE3DBC"/>
    <w:rsid w:val="00FE5547"/>
    <w:rsid w:val="00FE6F19"/>
    <w:rsid w:val="00FF1366"/>
    <w:rsid w:val="00FF41B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8F27B49"/>
  <w15:docId w15:val="{01897805-7BAA-4226-B33B-E93AB6C5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Descripcin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character" w:customStyle="1" w:styleId="TextonotapieCar">
    <w:name w:val="Texto nota pie Car"/>
    <w:basedOn w:val="Fuentedeprrafopredeter"/>
    <w:link w:val="Textonotapie"/>
    <w:semiHidden/>
    <w:rsid w:val="005D7ABA"/>
  </w:style>
  <w:style w:type="paragraph" w:styleId="Revisin">
    <w:name w:val="Revision"/>
    <w:hidden/>
    <w:uiPriority w:val="99"/>
    <w:semiHidden/>
    <w:rsid w:val="00F065A5"/>
    <w:rPr>
      <w:sz w:val="24"/>
      <w:szCs w:val="24"/>
    </w:rPr>
  </w:style>
  <w:style w:type="table" w:styleId="Tablaconcuadrcula">
    <w:name w:val="Table Grid"/>
    <w:basedOn w:val="Tablanormal"/>
    <w:rsid w:val="0009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7270-53E3-4652-81C8-D7C7EB3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82</TotalTime>
  <Pages>8</Pages>
  <Words>2443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SUBSECRETARIA DE PESCA</dc:creator>
  <cp:keywords>Merluza de tres aletas</cp:keywords>
  <dc:description/>
  <cp:lastModifiedBy>Ivonne Montenegro</cp:lastModifiedBy>
  <cp:revision>9</cp:revision>
  <cp:lastPrinted>2023-06-06T13:57:00Z</cp:lastPrinted>
  <dcterms:created xsi:type="dcterms:W3CDTF">2024-11-06T12:32:00Z</dcterms:created>
  <dcterms:modified xsi:type="dcterms:W3CDTF">2024-11-07T19:05:00Z</dcterms:modified>
</cp:coreProperties>
</file>