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6E87" w14:textId="574716F5" w:rsidR="00907737" w:rsidRPr="00207E85" w:rsidRDefault="00907737" w:rsidP="00207E85">
      <w:pPr>
        <w:pStyle w:val="Prrafodelista"/>
        <w:jc w:val="both"/>
        <w:rPr>
          <w:rFonts w:ascii="gobCL" w:hAnsi="gobCL"/>
          <w:b/>
          <w:u w:val="single"/>
        </w:rPr>
      </w:pPr>
      <w:r w:rsidRPr="00207E85">
        <w:rPr>
          <w:rFonts w:ascii="gobCL" w:hAnsi="gobCL"/>
          <w:b/>
          <w:u w:val="single"/>
        </w:rPr>
        <w:t xml:space="preserve">ACLARACIONES A BASES ADMINISTRATIVAS SUBASTA </w:t>
      </w:r>
      <w:r w:rsidR="00AD3015">
        <w:rPr>
          <w:rFonts w:ascii="gobCL" w:hAnsi="gobCL"/>
          <w:b/>
          <w:u w:val="single"/>
        </w:rPr>
        <w:t>LOTES CONSUMO HUMANO</w:t>
      </w:r>
    </w:p>
    <w:p w14:paraId="479505F0" w14:textId="77777777" w:rsidR="00907737" w:rsidRPr="00207E85" w:rsidRDefault="00907737" w:rsidP="00207E85">
      <w:pPr>
        <w:pStyle w:val="Prrafodelista"/>
        <w:jc w:val="both"/>
        <w:rPr>
          <w:rFonts w:ascii="gobCL" w:hAnsi="gobCL"/>
          <w:b/>
        </w:rPr>
      </w:pPr>
    </w:p>
    <w:p w14:paraId="3B119A4F" w14:textId="3F80DF3B" w:rsidR="00907737" w:rsidRPr="00CB2C16" w:rsidRDefault="00907737" w:rsidP="00207E85">
      <w:pPr>
        <w:spacing w:line="240" w:lineRule="auto"/>
        <w:jc w:val="both"/>
        <w:rPr>
          <w:rFonts w:ascii="gobCL" w:hAnsi="gobCL"/>
        </w:rPr>
      </w:pPr>
      <w:r w:rsidRPr="00CB2C16">
        <w:rPr>
          <w:rFonts w:ascii="gobCL" w:hAnsi="gobCL"/>
          <w:b/>
        </w:rPr>
        <w:t xml:space="preserve">Aclaraciones a las bases dirigidas al correo electrónico </w:t>
      </w:r>
      <w:hyperlink r:id="rId8" w:history="1">
        <w:r w:rsidRPr="00CB2C16">
          <w:rPr>
            <w:rStyle w:val="Hipervnculo"/>
            <w:rFonts w:ascii="gobCL" w:hAnsi="gobCL"/>
            <w:b/>
          </w:rPr>
          <w:t>subastapublica@subpesca.cl</w:t>
        </w:r>
      </w:hyperlink>
      <w:r w:rsidRPr="00CB2C16">
        <w:rPr>
          <w:rFonts w:ascii="gobCL" w:hAnsi="gobCL"/>
          <w:b/>
        </w:rPr>
        <w:t xml:space="preserve"> a la fecha de </w:t>
      </w:r>
      <w:r w:rsidR="00CD3FD6" w:rsidRPr="00CB2C16">
        <w:rPr>
          <w:rFonts w:ascii="gobCL" w:hAnsi="gobCL"/>
          <w:b/>
        </w:rPr>
        <w:t>2</w:t>
      </w:r>
      <w:r w:rsidR="00CB2C16" w:rsidRPr="00CB2C16">
        <w:rPr>
          <w:rFonts w:ascii="gobCL" w:hAnsi="gobCL"/>
          <w:b/>
        </w:rPr>
        <w:t>5</w:t>
      </w:r>
      <w:r w:rsidRPr="00CB2C16">
        <w:rPr>
          <w:rFonts w:ascii="gobCL" w:hAnsi="gobCL"/>
          <w:b/>
        </w:rPr>
        <w:t xml:space="preserve"> </w:t>
      </w:r>
      <w:r w:rsidR="00CD3FD6" w:rsidRPr="00CB2C16">
        <w:rPr>
          <w:rFonts w:ascii="gobCL" w:hAnsi="gobCL"/>
          <w:b/>
        </w:rPr>
        <w:t>junio</w:t>
      </w:r>
      <w:r w:rsidRPr="00CB2C16">
        <w:rPr>
          <w:rFonts w:ascii="gobCL" w:hAnsi="gobCL"/>
          <w:b/>
        </w:rPr>
        <w:t xml:space="preserve"> de 20</w:t>
      </w:r>
      <w:r w:rsidR="00084F70" w:rsidRPr="00CB2C16">
        <w:rPr>
          <w:rFonts w:ascii="gobCL" w:hAnsi="gobCL"/>
          <w:b/>
        </w:rPr>
        <w:t>2</w:t>
      </w:r>
      <w:r w:rsidR="00CD3FD6" w:rsidRPr="00CB2C16">
        <w:rPr>
          <w:rFonts w:ascii="gobCL" w:hAnsi="gobCL"/>
          <w:b/>
        </w:rPr>
        <w:t>5</w:t>
      </w:r>
      <w:r w:rsidRPr="00CB2C16">
        <w:rPr>
          <w:rFonts w:ascii="gobCL" w:hAnsi="gobCL"/>
          <w:b/>
        </w:rPr>
        <w:t>, según el orden de llegada y dentro del plazo de 3 días hábiles.</w:t>
      </w:r>
    </w:p>
    <w:p w14:paraId="35661E1B" w14:textId="77777777" w:rsidR="00E17E9A" w:rsidRPr="00CB2C16" w:rsidRDefault="00084F70" w:rsidP="00E17E9A">
      <w:pPr>
        <w:spacing w:line="240" w:lineRule="auto"/>
        <w:jc w:val="both"/>
        <w:rPr>
          <w:rFonts w:ascii="gobCL" w:hAnsi="gobCL"/>
          <w:b/>
          <w:bCs/>
        </w:rPr>
      </w:pPr>
      <w:r w:rsidRPr="00CB2C16">
        <w:rPr>
          <w:rFonts w:ascii="gobCL" w:hAnsi="gobCL" w:cs="Times New Roman"/>
          <w:color w:val="000000"/>
          <w:lang w:eastAsia="es-CL"/>
        </w:rPr>
        <w:t>1</w:t>
      </w:r>
      <w:r w:rsidR="00CE3B35" w:rsidRPr="00CB2C16">
        <w:rPr>
          <w:rFonts w:ascii="gobCL" w:hAnsi="gobCL" w:cs="Times New Roman"/>
          <w:color w:val="000000"/>
          <w:lang w:eastAsia="es-CL"/>
        </w:rPr>
        <w:t>.</w:t>
      </w:r>
      <w:r w:rsidR="00CE3B35" w:rsidRPr="00CB2C16">
        <w:rPr>
          <w:rFonts w:ascii="gobCL" w:eastAsia="Calibri" w:hAnsi="gobCL" w:cs="Calibri"/>
          <w:lang w:eastAsia="es-CL"/>
        </w:rPr>
        <w:t xml:space="preserve"> </w:t>
      </w:r>
      <w:r w:rsidR="00E17E9A" w:rsidRPr="00CB2C16">
        <w:rPr>
          <w:rFonts w:ascii="gobCL" w:hAnsi="gobCL"/>
          <w:b/>
          <w:bCs/>
        </w:rPr>
        <w:t>Requisitos para Empresas de Menor Tamaño con escasa o nula actividad en 2024</w:t>
      </w:r>
    </w:p>
    <w:p w14:paraId="299DC98D" w14:textId="77777777" w:rsidR="00E17E9A" w:rsidRPr="00E17E9A" w:rsidRDefault="00E17E9A" w:rsidP="00E17E9A">
      <w:pPr>
        <w:spacing w:line="240" w:lineRule="auto"/>
        <w:jc w:val="both"/>
        <w:rPr>
          <w:rFonts w:ascii="gobCL" w:hAnsi="gobCL"/>
        </w:rPr>
      </w:pPr>
      <w:r w:rsidRPr="00E17E9A">
        <w:rPr>
          <w:rFonts w:ascii="gobCL" w:hAnsi="gobCL"/>
        </w:rPr>
        <w:t>Si una empresa solo declaró IVA solo en diciembre de 2024, ¿cuáles son los documentos suficientes para acreditar su condición de empresa de menor tamaño según Ley 20.416?</w:t>
      </w:r>
    </w:p>
    <w:p w14:paraId="2549F499" w14:textId="77777777" w:rsidR="00E17E9A" w:rsidRPr="00E17E9A" w:rsidRDefault="00E17E9A" w:rsidP="00E17E9A">
      <w:pPr>
        <w:spacing w:line="240" w:lineRule="auto"/>
        <w:jc w:val="both"/>
        <w:rPr>
          <w:rFonts w:ascii="gobCL" w:hAnsi="gobCL"/>
        </w:rPr>
      </w:pPr>
      <w:r w:rsidRPr="00E17E9A">
        <w:rPr>
          <w:rFonts w:ascii="gobCL" w:hAnsi="gobCL"/>
        </w:rPr>
        <w:t>• Las bases exigen acreditar la condición de E.M.T. mediante declaraciones de IVA de 2024 ante notario.</w:t>
      </w:r>
    </w:p>
    <w:p w14:paraId="21396B46" w14:textId="77777777" w:rsidR="00E17E9A" w:rsidRPr="00E17E9A" w:rsidRDefault="00E17E9A" w:rsidP="00E17E9A">
      <w:pPr>
        <w:spacing w:line="240" w:lineRule="auto"/>
        <w:jc w:val="both"/>
        <w:rPr>
          <w:rFonts w:ascii="gobCL" w:hAnsi="gobCL"/>
        </w:rPr>
      </w:pPr>
      <w:r w:rsidRPr="00E17E9A">
        <w:rPr>
          <w:rFonts w:ascii="gobCL" w:hAnsi="gobCL"/>
        </w:rPr>
        <w:t>• También permite acreditar no haber registrado ingresos, siempre que el capital efectivo no supere las 5.000 UF.</w:t>
      </w:r>
    </w:p>
    <w:p w14:paraId="32D5202A" w14:textId="35578A7C" w:rsidR="00E17E9A" w:rsidRPr="00E17E9A" w:rsidRDefault="00E17E9A" w:rsidP="00E17E9A">
      <w:pPr>
        <w:spacing w:line="240" w:lineRule="auto"/>
        <w:jc w:val="both"/>
        <w:rPr>
          <w:rFonts w:ascii="gobCL" w:hAnsi="gobCL"/>
        </w:rPr>
      </w:pPr>
      <w:r w:rsidRPr="00E17E9A">
        <w:rPr>
          <w:rFonts w:ascii="gobCL" w:hAnsi="gobCL"/>
        </w:rPr>
        <w:t xml:space="preserve">• ¿Es válida una sola declaración mensual (por ejemplo, solo diciembre) o qué otro documento se </w:t>
      </w:r>
      <w:r w:rsidR="00837FAD" w:rsidRPr="00E17E9A">
        <w:rPr>
          <w:rFonts w:ascii="gobCL" w:hAnsi="gobCL"/>
        </w:rPr>
        <w:t>requiere</w:t>
      </w:r>
      <w:r w:rsidRPr="00E17E9A">
        <w:rPr>
          <w:rFonts w:ascii="gobCL" w:hAnsi="gobCL"/>
        </w:rPr>
        <w:t xml:space="preserve">, declaración notarial </w:t>
      </w:r>
      <w:proofErr w:type="spellStart"/>
      <w:r w:rsidRPr="00E17E9A">
        <w:rPr>
          <w:rFonts w:ascii="gobCL" w:hAnsi="gobCL"/>
        </w:rPr>
        <w:t>etc</w:t>
      </w:r>
      <w:proofErr w:type="spellEnd"/>
      <w:r w:rsidRPr="00E17E9A">
        <w:rPr>
          <w:rFonts w:ascii="gobCL" w:hAnsi="gobCL"/>
        </w:rPr>
        <w:t>?</w:t>
      </w:r>
    </w:p>
    <w:p w14:paraId="353FCCE4" w14:textId="77777777" w:rsidR="00E17E9A" w:rsidRPr="00E17E9A" w:rsidRDefault="00E17E9A" w:rsidP="00E17E9A">
      <w:pPr>
        <w:spacing w:line="240" w:lineRule="auto"/>
        <w:jc w:val="both"/>
        <w:rPr>
          <w:rFonts w:ascii="gobCL" w:hAnsi="gobCL"/>
        </w:rPr>
      </w:pPr>
      <w:r w:rsidRPr="00E17E9A">
        <w:rPr>
          <w:rFonts w:ascii="gobCL" w:hAnsi="gobCL"/>
        </w:rPr>
        <w:t>• ¿Basta con acompañar una declaración jurada notarial complementaria, más declaración de renta 2024 sin ingresos?</w:t>
      </w:r>
    </w:p>
    <w:p w14:paraId="6BA4144D" w14:textId="77777777" w:rsidR="00E17E9A" w:rsidRPr="00E17E9A" w:rsidRDefault="00E17E9A" w:rsidP="00E17E9A">
      <w:pPr>
        <w:spacing w:line="240" w:lineRule="auto"/>
        <w:jc w:val="both"/>
        <w:rPr>
          <w:rFonts w:ascii="gobCL" w:hAnsi="gobCL"/>
        </w:rPr>
      </w:pPr>
      <w:r w:rsidRPr="00E17E9A">
        <w:rPr>
          <w:rFonts w:ascii="gobCL" w:hAnsi="gobCL"/>
        </w:rPr>
        <w:t>• ¿Qué ocurre si la empresa tuvo inicio de actividades en diciembre del 2024?</w:t>
      </w:r>
    </w:p>
    <w:p w14:paraId="3FB8A420" w14:textId="10ABC723" w:rsidR="00CD3FD6" w:rsidRPr="00CB2C16" w:rsidRDefault="00CD3FD6" w:rsidP="00E17E9A">
      <w:pPr>
        <w:spacing w:line="240" w:lineRule="auto"/>
        <w:jc w:val="both"/>
        <w:rPr>
          <w:rFonts w:ascii="gobCL" w:hAnsi="gobCL"/>
        </w:rPr>
      </w:pPr>
    </w:p>
    <w:p w14:paraId="6DC0B09A" w14:textId="0E105C16" w:rsidR="00E17E9A" w:rsidRPr="00CB2C16" w:rsidRDefault="00CD3FD6" w:rsidP="00261DCA">
      <w:pPr>
        <w:spacing w:line="240" w:lineRule="auto"/>
        <w:jc w:val="both"/>
        <w:rPr>
          <w:rFonts w:ascii="gobCL" w:hAnsi="gobCL" w:cs="Times New Roman"/>
          <w:b/>
          <w:bCs/>
          <w:lang w:eastAsia="es-CL"/>
        </w:rPr>
      </w:pPr>
      <w:r w:rsidRPr="00CB2C16">
        <w:rPr>
          <w:rFonts w:ascii="gobCL" w:hAnsi="gobCL" w:cs="Times New Roman"/>
          <w:b/>
          <w:bCs/>
          <w:lang w:eastAsia="es-CL"/>
        </w:rPr>
        <w:t xml:space="preserve">- </w:t>
      </w:r>
      <w:r w:rsidR="00261DCA" w:rsidRPr="00CB2C16">
        <w:rPr>
          <w:rFonts w:ascii="gobCL" w:hAnsi="gobCL" w:cs="Times New Roman"/>
          <w:b/>
          <w:bCs/>
          <w:lang w:eastAsia="es-CL"/>
        </w:rPr>
        <w:t>Respecto de su pregunta, s</w:t>
      </w:r>
      <w:r w:rsidR="00E17E9A" w:rsidRPr="00CB2C16">
        <w:rPr>
          <w:rFonts w:ascii="gobCL" w:hAnsi="gobCL" w:cs="Times New Roman"/>
          <w:b/>
          <w:bCs/>
          <w:lang w:eastAsia="es-CL"/>
        </w:rPr>
        <w:t xml:space="preserve">e debe indicar que el requisito es tener la calidad de EMT durante el año calendario 2024 </w:t>
      </w:r>
      <w:r w:rsidR="00CB2C16" w:rsidRPr="00CB2C16">
        <w:rPr>
          <w:rFonts w:ascii="gobCL" w:hAnsi="gobCL" w:cs="Times New Roman"/>
          <w:b/>
          <w:bCs/>
          <w:lang w:eastAsia="es-CL"/>
        </w:rPr>
        <w:t>(los</w:t>
      </w:r>
      <w:r w:rsidR="00E17E9A" w:rsidRPr="00CB2C16">
        <w:rPr>
          <w:rFonts w:ascii="gobCL" w:hAnsi="gobCL" w:cs="Times New Roman"/>
          <w:b/>
          <w:bCs/>
          <w:lang w:eastAsia="es-CL"/>
        </w:rPr>
        <w:t xml:space="preserve"> 12 meses de dicho año), así lo dispone el punto 7, letra c de las bases administrativas</w:t>
      </w:r>
      <w:r w:rsidR="009C10F0" w:rsidRPr="00CB2C16">
        <w:rPr>
          <w:rFonts w:ascii="gobCL" w:hAnsi="gobCL" w:cs="Times New Roman"/>
          <w:b/>
          <w:bCs/>
          <w:lang w:eastAsia="es-CL"/>
        </w:rPr>
        <w:t xml:space="preserve">, y así lo ha exigido uniformemente esta Subsecretaría, por tal una empresa que no pueda acreditar los 12 meses del año calendario, no puede participar. </w:t>
      </w:r>
    </w:p>
    <w:p w14:paraId="513BD46F" w14:textId="77777777"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2. Precio Mínimo Secreto</w:t>
      </w:r>
    </w:p>
    <w:p w14:paraId="7F517D3D" w14:textId="11C93510"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 xml:space="preserve">¿Tiene respaldo legal la inclusión de un 'precio mínimo secreto' en esta subasta de Cuota de Consumo Humano y por primera vez en su historia desde que se </w:t>
      </w:r>
      <w:r w:rsidR="00CB2C16" w:rsidRPr="00E17E9A">
        <w:rPr>
          <w:rFonts w:ascii="gobCL" w:hAnsi="gobCL" w:cs="Times New Roman"/>
          <w:lang w:eastAsia="es-CL"/>
        </w:rPr>
        <w:t>realizan?</w:t>
      </w:r>
    </w:p>
    <w:p w14:paraId="743E81F8" w14:textId="3D14C728"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 xml:space="preserve">¿Qué cambió al respecto que ahora las bases incluyeron precio mínimo y </w:t>
      </w:r>
      <w:r w:rsidR="00CB2C16" w:rsidRPr="00E17E9A">
        <w:rPr>
          <w:rFonts w:ascii="gobCL" w:hAnsi="gobCL" w:cs="Times New Roman"/>
          <w:lang w:eastAsia="es-CL"/>
        </w:rPr>
        <w:t>secreto, lo</w:t>
      </w:r>
      <w:r w:rsidRPr="00E17E9A">
        <w:rPr>
          <w:rFonts w:ascii="gobCL" w:hAnsi="gobCL" w:cs="Times New Roman"/>
          <w:lang w:eastAsia="es-CL"/>
        </w:rPr>
        <w:t xml:space="preserve"> que </w:t>
      </w:r>
      <w:proofErr w:type="spellStart"/>
      <w:r w:rsidRPr="00E17E9A">
        <w:rPr>
          <w:rFonts w:ascii="gobCL" w:hAnsi="gobCL" w:cs="Times New Roman"/>
          <w:lang w:eastAsia="es-CL"/>
        </w:rPr>
        <w:t>que</w:t>
      </w:r>
      <w:proofErr w:type="spellEnd"/>
      <w:r w:rsidRPr="00E17E9A">
        <w:rPr>
          <w:rFonts w:ascii="gobCL" w:hAnsi="gobCL" w:cs="Times New Roman"/>
          <w:lang w:eastAsia="es-CL"/>
        </w:rPr>
        <w:t xml:space="preserve"> no contempla la ley ni su reglamento?</w:t>
      </w:r>
    </w:p>
    <w:p w14:paraId="1D0D0E31" w14:textId="77777777"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 xml:space="preserve">• El artículo 3 letra C de la Ley 19.713 y el DS </w:t>
      </w:r>
      <w:proofErr w:type="spellStart"/>
      <w:r w:rsidRPr="00E17E9A">
        <w:rPr>
          <w:rFonts w:ascii="gobCL" w:hAnsi="gobCL" w:cs="Times New Roman"/>
          <w:lang w:eastAsia="es-CL"/>
        </w:rPr>
        <w:t>N°</w:t>
      </w:r>
      <w:proofErr w:type="spellEnd"/>
      <w:r w:rsidRPr="00E17E9A">
        <w:rPr>
          <w:rFonts w:ascii="gobCL" w:hAnsi="gobCL" w:cs="Times New Roman"/>
          <w:lang w:eastAsia="es-CL"/>
        </w:rPr>
        <w:t xml:space="preserve"> 173/2013 no contemplan esta figura.</w:t>
      </w:r>
    </w:p>
    <w:p w14:paraId="18E63476" w14:textId="77777777"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 ¿Existe una facultad reglamentaria expresa para fijarlo de forma no pública?</w:t>
      </w:r>
    </w:p>
    <w:p w14:paraId="5277515B" w14:textId="77777777"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 ¿Podría vulnerar el principio de publicidad, igualdad ante la ley y transparencia?</w:t>
      </w:r>
    </w:p>
    <w:p w14:paraId="4678FCA1" w14:textId="77777777" w:rsidR="00E17E9A" w:rsidRPr="00E17E9A" w:rsidRDefault="00E17E9A" w:rsidP="00E17E9A">
      <w:pPr>
        <w:spacing w:line="240" w:lineRule="auto"/>
        <w:jc w:val="both"/>
        <w:rPr>
          <w:rFonts w:ascii="gobCL" w:hAnsi="gobCL" w:cs="Times New Roman"/>
          <w:lang w:eastAsia="es-CL"/>
        </w:rPr>
      </w:pPr>
      <w:r w:rsidRPr="00E17E9A">
        <w:rPr>
          <w:rFonts w:ascii="gobCL" w:hAnsi="gobCL" w:cs="Times New Roman"/>
          <w:lang w:eastAsia="es-CL"/>
        </w:rPr>
        <w:t>• ¿Se arriesga a una impugnación en Contraloría o tribunales administrativos?</w:t>
      </w:r>
    </w:p>
    <w:p w14:paraId="10EFB117" w14:textId="0186CD77" w:rsidR="00E17E9A" w:rsidRPr="00CB2C16" w:rsidRDefault="00E17E9A" w:rsidP="00261DCA">
      <w:pPr>
        <w:spacing w:line="240" w:lineRule="auto"/>
        <w:jc w:val="both"/>
        <w:rPr>
          <w:rFonts w:ascii="gobCL" w:hAnsi="gobCL" w:cs="Times New Roman"/>
          <w:b/>
          <w:bCs/>
          <w:lang w:eastAsia="es-CL"/>
        </w:rPr>
      </w:pPr>
      <w:r w:rsidRPr="00CB2C16">
        <w:rPr>
          <w:rFonts w:ascii="gobCL" w:hAnsi="gobCL" w:cs="Times New Roman"/>
          <w:b/>
          <w:bCs/>
          <w:lang w:eastAsia="es-CL"/>
        </w:rPr>
        <w:t xml:space="preserve">- El mecanismo de precio mínimo </w:t>
      </w:r>
      <w:r w:rsidR="00CB2C16" w:rsidRPr="00CB2C16">
        <w:rPr>
          <w:rFonts w:ascii="gobCL" w:hAnsi="gobCL" w:cs="Times New Roman"/>
          <w:b/>
          <w:bCs/>
          <w:lang w:eastAsia="es-CL"/>
        </w:rPr>
        <w:t>está</w:t>
      </w:r>
      <w:r w:rsidRPr="00CB2C16">
        <w:rPr>
          <w:rFonts w:ascii="gobCL" w:hAnsi="gobCL" w:cs="Times New Roman"/>
          <w:b/>
          <w:bCs/>
          <w:lang w:eastAsia="es-CL"/>
        </w:rPr>
        <w:t xml:space="preserve"> regulado en el Reglamento de Subastas de </w:t>
      </w:r>
      <w:r w:rsidR="009C10F0" w:rsidRPr="00CB2C16">
        <w:rPr>
          <w:rFonts w:ascii="gobCL" w:hAnsi="gobCL" w:cs="Times New Roman"/>
          <w:b/>
          <w:bCs/>
          <w:lang w:eastAsia="es-CL"/>
        </w:rPr>
        <w:t xml:space="preserve">Subastas de </w:t>
      </w:r>
      <w:r w:rsidRPr="00CB2C16">
        <w:rPr>
          <w:rFonts w:ascii="gobCL" w:hAnsi="gobCL" w:cs="Times New Roman"/>
          <w:b/>
          <w:bCs/>
          <w:lang w:eastAsia="es-CL"/>
        </w:rPr>
        <w:t>Co</w:t>
      </w:r>
      <w:r w:rsidR="009C10F0" w:rsidRPr="00CB2C16">
        <w:rPr>
          <w:rFonts w:ascii="gobCL" w:hAnsi="gobCL" w:cs="Times New Roman"/>
          <w:b/>
          <w:bCs/>
          <w:lang w:eastAsia="es-CL"/>
        </w:rPr>
        <w:t xml:space="preserve">nsumo humano, en su </w:t>
      </w:r>
      <w:r w:rsidR="00CB2C16" w:rsidRPr="00CB2C16">
        <w:rPr>
          <w:rFonts w:ascii="gobCL" w:hAnsi="gobCL" w:cs="Times New Roman"/>
          <w:b/>
          <w:bCs/>
          <w:lang w:eastAsia="es-CL"/>
        </w:rPr>
        <w:t>artículo</w:t>
      </w:r>
      <w:r w:rsidR="009C10F0" w:rsidRPr="00CB2C16">
        <w:rPr>
          <w:rFonts w:ascii="gobCL" w:hAnsi="gobCL" w:cs="Times New Roman"/>
          <w:b/>
          <w:bCs/>
          <w:lang w:eastAsia="es-CL"/>
        </w:rPr>
        <w:t xml:space="preserve"> 5°, N°2, literal </w:t>
      </w:r>
      <w:proofErr w:type="spellStart"/>
      <w:r w:rsidR="009C10F0" w:rsidRPr="00CB2C16">
        <w:rPr>
          <w:rFonts w:ascii="gobCL" w:hAnsi="gobCL" w:cs="Times New Roman"/>
          <w:b/>
          <w:bCs/>
          <w:lang w:eastAsia="es-CL"/>
        </w:rPr>
        <w:t>viii</w:t>
      </w:r>
      <w:proofErr w:type="spellEnd"/>
      <w:r w:rsidR="009C10F0" w:rsidRPr="00CB2C16">
        <w:rPr>
          <w:rFonts w:ascii="gobCL" w:hAnsi="gobCL" w:cs="Times New Roman"/>
          <w:b/>
          <w:bCs/>
          <w:lang w:eastAsia="es-CL"/>
        </w:rPr>
        <w:t>), habiéndose ceñido las bases de la subasta en cuestión tanto a dicha normativa, como a las demás disposiciones aplicables a la materia.</w:t>
      </w:r>
    </w:p>
    <w:p w14:paraId="6B86C385" w14:textId="77777777" w:rsidR="009C10F0" w:rsidRPr="00CB2C16" w:rsidRDefault="009C10F0" w:rsidP="009C10F0">
      <w:pPr>
        <w:spacing w:line="240" w:lineRule="auto"/>
        <w:jc w:val="both"/>
        <w:rPr>
          <w:rFonts w:ascii="gobCL" w:hAnsi="gobCL" w:cs="Times New Roman"/>
          <w:b/>
          <w:bCs/>
          <w:lang w:eastAsia="es-CL"/>
        </w:rPr>
      </w:pPr>
      <w:r w:rsidRPr="00CB2C16">
        <w:rPr>
          <w:rFonts w:ascii="gobCL" w:hAnsi="gobCL" w:cs="Times New Roman"/>
          <w:b/>
          <w:bCs/>
          <w:lang w:eastAsia="es-CL"/>
        </w:rPr>
        <w:t xml:space="preserve">3. </w:t>
      </w:r>
      <w:r w:rsidRPr="00CB2C16">
        <w:rPr>
          <w:rFonts w:ascii="gobCL" w:hAnsi="gobCL" w:cs="Times New Roman"/>
          <w:b/>
          <w:bCs/>
          <w:lang w:eastAsia="es-CL"/>
        </w:rPr>
        <w:t>3. Forma de Presentación de Documentos</w:t>
      </w:r>
    </w:p>
    <w:p w14:paraId="2C07ABBF" w14:textId="5B4F9C24" w:rsidR="009C10F0" w:rsidRPr="009C10F0" w:rsidRDefault="009C10F0" w:rsidP="009C10F0">
      <w:pPr>
        <w:spacing w:line="240" w:lineRule="auto"/>
        <w:jc w:val="both"/>
        <w:rPr>
          <w:rFonts w:ascii="gobCL" w:hAnsi="gobCL" w:cs="Times New Roman"/>
          <w:lang w:eastAsia="es-CL"/>
        </w:rPr>
      </w:pPr>
      <w:r w:rsidRPr="009C10F0">
        <w:rPr>
          <w:rFonts w:ascii="Segoe UI Emoji" w:hAnsi="Segoe UI Emoji" w:cs="Segoe UI Emoji"/>
          <w:lang w:eastAsia="es-CL"/>
        </w:rPr>
        <w:t>❓</w:t>
      </w:r>
      <w:r w:rsidRPr="009C10F0">
        <w:rPr>
          <w:rFonts w:ascii="gobCL" w:hAnsi="gobCL" w:cs="Times New Roman"/>
          <w:lang w:eastAsia="es-CL"/>
        </w:rPr>
        <w:t xml:space="preserve"> ¿Por qué se exige presentar todos los documentos ante notario, incluso si ya fueron emitidos electrónicamente tal es el caso de </w:t>
      </w:r>
      <w:r w:rsidR="00CB2C16" w:rsidRPr="009C10F0">
        <w:rPr>
          <w:rFonts w:ascii="gobCL" w:hAnsi="gobCL" w:cs="Times New Roman"/>
          <w:lang w:eastAsia="es-CL"/>
        </w:rPr>
        <w:t>las declaraciones</w:t>
      </w:r>
      <w:r w:rsidRPr="009C10F0">
        <w:rPr>
          <w:rFonts w:ascii="gobCL" w:hAnsi="gobCL" w:cs="Times New Roman"/>
          <w:lang w:eastAsia="es-CL"/>
        </w:rPr>
        <w:t xml:space="preserve"> de IVA?</w:t>
      </w:r>
    </w:p>
    <w:p w14:paraId="3D547D8D"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¿No contradice el principio de eficiencia de la Ley 19.880?</w:t>
      </w:r>
    </w:p>
    <w:p w14:paraId="6D6168C8" w14:textId="03F820D2"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xml:space="preserve">• ¿Por qué no se admite declaración </w:t>
      </w:r>
      <w:r w:rsidR="00CB2C16" w:rsidRPr="009C10F0">
        <w:rPr>
          <w:rFonts w:ascii="gobCL" w:hAnsi="gobCL" w:cs="Times New Roman"/>
          <w:lang w:eastAsia="es-CL"/>
        </w:rPr>
        <w:t>jurada con</w:t>
      </w:r>
      <w:r w:rsidRPr="009C10F0">
        <w:rPr>
          <w:rFonts w:ascii="gobCL" w:hAnsi="gobCL" w:cs="Times New Roman"/>
          <w:lang w:eastAsia="es-CL"/>
        </w:rPr>
        <w:t xml:space="preserve"> firma electrónica avanzada?</w:t>
      </w:r>
    </w:p>
    <w:p w14:paraId="1516A42F" w14:textId="3FF29F62" w:rsidR="009C10F0" w:rsidRPr="00CB2C16" w:rsidRDefault="009C10F0" w:rsidP="00261DCA">
      <w:pPr>
        <w:spacing w:line="240" w:lineRule="auto"/>
        <w:jc w:val="both"/>
        <w:rPr>
          <w:rFonts w:ascii="gobCL" w:hAnsi="gobCL" w:cs="Times New Roman"/>
          <w:b/>
          <w:bCs/>
          <w:lang w:eastAsia="es-CL"/>
        </w:rPr>
      </w:pPr>
      <w:r w:rsidRPr="00CB2C16">
        <w:rPr>
          <w:rFonts w:ascii="gobCL" w:hAnsi="gobCL" w:cs="Times New Roman"/>
          <w:b/>
          <w:bCs/>
          <w:lang w:eastAsia="es-CL"/>
        </w:rPr>
        <w:t>- La autorización notarial de los documentos busca acreditar la autenticidad de los documentos, ya que el proceso de Subasta es un proceso único, que se lleva a cabo solo con la documentación presentada en los respectivos sobres, y que no permite contrastar la documentación con ninguna otra fuente o institución.</w:t>
      </w:r>
    </w:p>
    <w:p w14:paraId="277FC11A"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lastRenderedPageBreak/>
        <w:t>4. Límite del 40% por recurso por persona o vinculados</w:t>
      </w:r>
    </w:p>
    <w:p w14:paraId="6B1FC128"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¿Cómo fiscalizará la Subsecretaría que no se supere el límite del 40%?</w:t>
      </w:r>
    </w:p>
    <w:p w14:paraId="3C421D02"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¿Requiere declaración jurada sobre vínculos societarios?</w:t>
      </w:r>
    </w:p>
    <w:p w14:paraId="4F5FAAC5"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¿Habrá cruce con datos del SII?</w:t>
      </w:r>
    </w:p>
    <w:p w14:paraId="242727A0"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¿Qué consecuencias hay si se descubre vínculo no declarado luego de adjudicar?</w:t>
      </w:r>
    </w:p>
    <w:p w14:paraId="15E62661" w14:textId="77777777" w:rsidR="009C10F0" w:rsidRPr="00CB2C16" w:rsidRDefault="009C10F0" w:rsidP="00261DCA">
      <w:pPr>
        <w:spacing w:line="240" w:lineRule="auto"/>
        <w:jc w:val="both"/>
        <w:rPr>
          <w:rFonts w:ascii="gobCL" w:hAnsi="gobCL" w:cs="Times New Roman"/>
          <w:b/>
          <w:bCs/>
          <w:lang w:eastAsia="es-CL"/>
        </w:rPr>
      </w:pPr>
    </w:p>
    <w:p w14:paraId="01141431" w14:textId="765952EE" w:rsidR="009C10F0" w:rsidRPr="00CB2C16" w:rsidRDefault="009C10F0" w:rsidP="00261DCA">
      <w:pPr>
        <w:spacing w:line="240" w:lineRule="auto"/>
        <w:jc w:val="both"/>
        <w:rPr>
          <w:rFonts w:ascii="gobCL" w:hAnsi="gobCL" w:cs="Times New Roman"/>
          <w:b/>
          <w:bCs/>
          <w:lang w:eastAsia="es-CL"/>
        </w:rPr>
      </w:pPr>
      <w:r w:rsidRPr="00CB2C16">
        <w:rPr>
          <w:rFonts w:ascii="gobCL" w:hAnsi="gobCL" w:cs="Times New Roman"/>
          <w:b/>
          <w:bCs/>
          <w:lang w:eastAsia="es-CL"/>
        </w:rPr>
        <w:t>- Los limites en la adjudicación de lotes se controlan a través de los registros existentes en la Subsecretaría, y la documentación presentada por los participantes, de acuerdo con lo exigido en las bases del proceso de subasta.</w:t>
      </w:r>
    </w:p>
    <w:p w14:paraId="5016BD43"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5. Facultades de Interpretación de las Bases por parte de la Subsecretaría</w:t>
      </w:r>
    </w:p>
    <w:p w14:paraId="13678397"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¿Qué límites tiene la Subsecretaría para modificar o aclarar las bases?</w:t>
      </w:r>
    </w:p>
    <w:p w14:paraId="052FFFF1"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¿Puede modificar sustancialmente reglas sin nueva publicación?</w:t>
      </w:r>
    </w:p>
    <w:p w14:paraId="1D7A69FD"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 ¿Es impugnable si vulnera igualdad entre oferentes?</w:t>
      </w:r>
    </w:p>
    <w:p w14:paraId="7C40D38B" w14:textId="77777777" w:rsidR="009C10F0" w:rsidRPr="009C10F0" w:rsidRDefault="009C10F0" w:rsidP="009C10F0">
      <w:pPr>
        <w:spacing w:line="240" w:lineRule="auto"/>
        <w:jc w:val="both"/>
        <w:rPr>
          <w:rFonts w:ascii="gobCL" w:hAnsi="gobCL" w:cs="Times New Roman"/>
          <w:lang w:eastAsia="es-CL"/>
        </w:rPr>
      </w:pPr>
      <w:r w:rsidRPr="009C10F0">
        <w:rPr>
          <w:rFonts w:ascii="gobCL" w:hAnsi="gobCL" w:cs="Times New Roman"/>
          <w:lang w:eastAsia="es-CL"/>
        </w:rPr>
        <w:t>¿Las respuestas a las bases constituyen nuevas reglas del proceso?</w:t>
      </w:r>
    </w:p>
    <w:p w14:paraId="08778765" w14:textId="7530732C" w:rsidR="009C10F0" w:rsidRPr="00CB2C16" w:rsidRDefault="009C10F0" w:rsidP="00261DCA">
      <w:pPr>
        <w:spacing w:line="240" w:lineRule="auto"/>
        <w:jc w:val="both"/>
        <w:rPr>
          <w:rFonts w:ascii="gobCL" w:hAnsi="gobCL" w:cs="Times New Roman"/>
          <w:b/>
          <w:bCs/>
          <w:lang w:eastAsia="es-CL"/>
        </w:rPr>
      </w:pPr>
      <w:r w:rsidRPr="00CB2C16">
        <w:rPr>
          <w:rFonts w:ascii="gobCL" w:hAnsi="gobCL" w:cs="Times New Roman"/>
          <w:b/>
          <w:bCs/>
          <w:lang w:eastAsia="es-CL"/>
        </w:rPr>
        <w:t>- La etapa de aclaración a las bases, solo busca aclarar dudas o contradicciones, en ningún caso puede modificar las reglas ya existentes, ya que para ello se requiere la dictación de una nueva resolución que modifique las bases.</w:t>
      </w:r>
    </w:p>
    <w:p w14:paraId="6D12B902" w14:textId="7DBC3795" w:rsidR="009C10F0" w:rsidRPr="00CB2C16" w:rsidRDefault="009C10F0" w:rsidP="00261DCA">
      <w:pPr>
        <w:spacing w:line="240" w:lineRule="auto"/>
        <w:jc w:val="both"/>
        <w:rPr>
          <w:rFonts w:ascii="gobCL" w:hAnsi="gobCL" w:cs="Times New Roman"/>
          <w:b/>
          <w:bCs/>
          <w:lang w:eastAsia="es-CL"/>
        </w:rPr>
      </w:pPr>
      <w:r w:rsidRPr="00CB2C16">
        <w:rPr>
          <w:rFonts w:ascii="gobCL" w:hAnsi="gobCL" w:cs="Times New Roman"/>
          <w:b/>
          <w:bCs/>
          <w:lang w:eastAsia="es-CL"/>
        </w:rPr>
        <w:t xml:space="preserve">- Las preguntas que no están referidas al proceso de subasta o que se encuentran respondidas a través de </w:t>
      </w:r>
      <w:r w:rsidR="00CB2C16">
        <w:rPr>
          <w:rFonts w:ascii="gobCL" w:hAnsi="gobCL" w:cs="Times New Roman"/>
          <w:b/>
          <w:bCs/>
          <w:lang w:eastAsia="es-CL"/>
        </w:rPr>
        <w:t xml:space="preserve">la respuesta a otra </w:t>
      </w:r>
      <w:r w:rsidRPr="00CB2C16">
        <w:rPr>
          <w:rFonts w:ascii="gobCL" w:hAnsi="gobCL" w:cs="Times New Roman"/>
          <w:b/>
          <w:bCs/>
          <w:lang w:eastAsia="es-CL"/>
        </w:rPr>
        <w:t>pregunta, no fueron contestadas expresamente por razones de economía.</w:t>
      </w:r>
    </w:p>
    <w:p w14:paraId="20FEDF5F" w14:textId="77777777" w:rsidR="00CB2C16" w:rsidRPr="00CB2C16" w:rsidRDefault="00CB2C16" w:rsidP="00CB2C16">
      <w:pPr>
        <w:spacing w:line="240" w:lineRule="auto"/>
        <w:jc w:val="both"/>
        <w:rPr>
          <w:rFonts w:ascii="gobCL" w:hAnsi="gobCL" w:cs="Times New Roman"/>
          <w:lang w:eastAsia="es-CL"/>
        </w:rPr>
      </w:pPr>
      <w:r w:rsidRPr="00CB2C16">
        <w:rPr>
          <w:rFonts w:ascii="gobCL" w:hAnsi="gobCL" w:cs="Times New Roman"/>
          <w:b/>
          <w:bCs/>
          <w:lang w:eastAsia="es-CL"/>
        </w:rPr>
        <w:t xml:space="preserve">6. </w:t>
      </w:r>
      <w:r w:rsidRPr="00CB2C16">
        <w:rPr>
          <w:rFonts w:ascii="gobCL" w:hAnsi="gobCL" w:cs="Times New Roman"/>
          <w:lang w:eastAsia="es-CL"/>
        </w:rPr>
        <w:t xml:space="preserve">El punto 3 a las bases administrativas R. EX. </w:t>
      </w:r>
      <w:proofErr w:type="spellStart"/>
      <w:r w:rsidRPr="00CB2C16">
        <w:rPr>
          <w:rFonts w:ascii="gobCL" w:hAnsi="gobCL" w:cs="Times New Roman"/>
          <w:lang w:eastAsia="es-CL"/>
        </w:rPr>
        <w:t>N°</w:t>
      </w:r>
      <w:proofErr w:type="spellEnd"/>
      <w:r w:rsidRPr="00CB2C16">
        <w:rPr>
          <w:rFonts w:ascii="gobCL" w:hAnsi="gobCL" w:cs="Times New Roman"/>
          <w:lang w:eastAsia="es-CL"/>
        </w:rPr>
        <w:t xml:space="preserve"> 01475/2025, establecen que "Las ofertas económicas y antecedentes administrativos de cada uno de los participantes deberán ser presentados hasta las 14 horas del lunes 01 de julio de 2025, en la oficina de partes de la Subsecretaría, ubicada en Bellavista </w:t>
      </w:r>
      <w:proofErr w:type="spellStart"/>
      <w:r w:rsidRPr="00CB2C16">
        <w:rPr>
          <w:rFonts w:ascii="gobCL" w:hAnsi="gobCL" w:cs="Times New Roman"/>
          <w:lang w:eastAsia="es-CL"/>
        </w:rPr>
        <w:t>Nº</w:t>
      </w:r>
      <w:proofErr w:type="spellEnd"/>
      <w:r w:rsidRPr="00CB2C16">
        <w:rPr>
          <w:rFonts w:ascii="gobCL" w:hAnsi="gobCL" w:cs="Times New Roman"/>
          <w:lang w:eastAsia="es-CL"/>
        </w:rPr>
        <w:t xml:space="preserve"> 168, piso 16, Valparaíso..."</w:t>
      </w:r>
    </w:p>
    <w:p w14:paraId="67EABD6F" w14:textId="18093564" w:rsidR="00CB2C16" w:rsidRPr="00CB2C16" w:rsidRDefault="00CB2C16" w:rsidP="00CB2C16">
      <w:pPr>
        <w:spacing w:line="240" w:lineRule="auto"/>
        <w:jc w:val="both"/>
        <w:rPr>
          <w:rFonts w:ascii="gobCL" w:hAnsi="gobCL" w:cs="Times New Roman"/>
          <w:lang w:eastAsia="es-CL"/>
        </w:rPr>
      </w:pPr>
      <w:r w:rsidRPr="00CB2C16">
        <w:rPr>
          <w:rFonts w:ascii="gobCL" w:hAnsi="gobCL" w:cs="Times New Roman"/>
          <w:lang w:eastAsia="es-CL"/>
        </w:rPr>
        <w:t xml:space="preserve">Lo anterior tiene un problema de fechas, toda vez que el día 01 de Julio cae día martes en el calendario del año 2025 y No </w:t>
      </w:r>
      <w:r w:rsidRPr="00CB2C16">
        <w:rPr>
          <w:rFonts w:ascii="gobCL" w:hAnsi="gobCL" w:cs="Times New Roman"/>
          <w:lang w:eastAsia="es-CL"/>
        </w:rPr>
        <w:t>lunes</w:t>
      </w:r>
      <w:r w:rsidRPr="00CB2C16">
        <w:rPr>
          <w:rFonts w:ascii="gobCL" w:hAnsi="gobCL" w:cs="Times New Roman"/>
          <w:lang w:eastAsia="es-CL"/>
        </w:rPr>
        <w:t xml:space="preserve"> como mal establece el punto 3 en las bases. En consecuencia, cuál es el día correcto que considerará la subsecretaría para que puedan ser presentados hasta las 14 horas los antecedentes de los interesados en el proceso. Día 01 de Julio o día 31 de </w:t>
      </w:r>
      <w:r w:rsidRPr="00CB2C16">
        <w:rPr>
          <w:rFonts w:ascii="gobCL" w:hAnsi="gobCL" w:cs="Times New Roman"/>
          <w:lang w:eastAsia="es-CL"/>
        </w:rPr>
        <w:t>junio</w:t>
      </w:r>
      <w:r w:rsidRPr="00CB2C16">
        <w:rPr>
          <w:rFonts w:ascii="gobCL" w:hAnsi="gobCL" w:cs="Times New Roman"/>
          <w:lang w:eastAsia="es-CL"/>
        </w:rPr>
        <w:t>?</w:t>
      </w:r>
    </w:p>
    <w:p w14:paraId="4E35278C" w14:textId="55A72EB9" w:rsidR="00CB2C16" w:rsidRPr="00CB2C16" w:rsidRDefault="00CB2C16" w:rsidP="00261DCA">
      <w:pPr>
        <w:spacing w:line="240" w:lineRule="auto"/>
        <w:jc w:val="both"/>
        <w:rPr>
          <w:rFonts w:ascii="gobCL" w:hAnsi="gobCL" w:cs="Times New Roman"/>
          <w:b/>
          <w:bCs/>
          <w:lang w:eastAsia="es-CL"/>
        </w:rPr>
      </w:pPr>
      <w:r w:rsidRPr="00CB2C16">
        <w:rPr>
          <w:rFonts w:ascii="gobCL" w:hAnsi="gobCL" w:cs="Times New Roman"/>
          <w:b/>
          <w:bCs/>
          <w:lang w:eastAsia="es-CL"/>
        </w:rPr>
        <w:t>- La fecha tope para presentar las ofertas es el día 01 de julio de 2025, hasta las 14 horas.</w:t>
      </w:r>
    </w:p>
    <w:sectPr w:rsidR="00CB2C16" w:rsidRPr="00CB2C16"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F28A" w14:textId="77777777" w:rsidR="00EB6DF2" w:rsidRDefault="00EB6DF2" w:rsidP="00D20F14">
      <w:pPr>
        <w:spacing w:after="0" w:line="240" w:lineRule="auto"/>
      </w:pPr>
      <w:r>
        <w:separator/>
      </w:r>
    </w:p>
  </w:endnote>
  <w:endnote w:type="continuationSeparator" w:id="0">
    <w:p w14:paraId="7DB6830B" w14:textId="77777777" w:rsidR="00EB6DF2" w:rsidRDefault="00EB6DF2"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1691" w14:textId="77777777" w:rsidR="00EB6DF2" w:rsidRDefault="00EB6DF2" w:rsidP="00D20F14">
      <w:pPr>
        <w:spacing w:after="0" w:line="240" w:lineRule="auto"/>
      </w:pPr>
      <w:r>
        <w:separator/>
      </w:r>
    </w:p>
  </w:footnote>
  <w:footnote w:type="continuationSeparator" w:id="0">
    <w:p w14:paraId="18CB52D1" w14:textId="77777777" w:rsidR="00EB6DF2" w:rsidRDefault="00EB6DF2"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022A25FB"/>
    <w:multiLevelType w:val="hybridMultilevel"/>
    <w:tmpl w:val="1FFC6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60532"/>
    <w:multiLevelType w:val="hybridMultilevel"/>
    <w:tmpl w:val="3A4003A8"/>
    <w:lvl w:ilvl="0" w:tplc="517ECE1A">
      <w:start w:val="42"/>
      <w:numFmt w:val="bullet"/>
      <w:lvlText w:val="-"/>
      <w:lvlJc w:val="left"/>
      <w:pPr>
        <w:ind w:left="720" w:hanging="360"/>
      </w:pPr>
      <w:rPr>
        <w:rFonts w:ascii="gobCL" w:eastAsia="Calibri" w:hAnsi="gobCL"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F315BA"/>
    <w:multiLevelType w:val="hybridMultilevel"/>
    <w:tmpl w:val="7DA24F6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6153F6"/>
    <w:multiLevelType w:val="hybridMultilevel"/>
    <w:tmpl w:val="AC4A195C"/>
    <w:lvl w:ilvl="0" w:tplc="D976466A">
      <w:numFmt w:val="bullet"/>
      <w:lvlText w:val="-"/>
      <w:lvlJc w:val="left"/>
      <w:pPr>
        <w:ind w:left="720" w:hanging="360"/>
      </w:pPr>
      <w:rPr>
        <w:rFonts w:ascii="gobCL" w:eastAsiaTheme="minorHAns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1A0ED9"/>
    <w:multiLevelType w:val="hybridMultilevel"/>
    <w:tmpl w:val="E892BC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40B812BE"/>
    <w:multiLevelType w:val="multilevel"/>
    <w:tmpl w:val="487C2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78658E"/>
    <w:multiLevelType w:val="hybridMultilevel"/>
    <w:tmpl w:val="37FE63B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6B3F27"/>
    <w:multiLevelType w:val="multilevel"/>
    <w:tmpl w:val="E6305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880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14"/>
  </w:num>
  <w:num w:numId="4" w16cid:durableId="846208855">
    <w:abstractNumId w:val="4"/>
  </w:num>
  <w:num w:numId="5" w16cid:durableId="1729187302">
    <w:abstractNumId w:val="11"/>
  </w:num>
  <w:num w:numId="6" w16cid:durableId="708065530">
    <w:abstractNumId w:val="0"/>
  </w:num>
  <w:num w:numId="7" w16cid:durableId="1924603265">
    <w:abstractNumId w:val="12"/>
  </w:num>
  <w:num w:numId="8" w16cid:durableId="278998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94255">
    <w:abstractNumId w:val="1"/>
  </w:num>
  <w:num w:numId="10" w16cid:durableId="1097628874">
    <w:abstractNumId w:val="15"/>
  </w:num>
  <w:num w:numId="11" w16cid:durableId="1195266271">
    <w:abstractNumId w:val="5"/>
  </w:num>
  <w:num w:numId="12" w16cid:durableId="277296516">
    <w:abstractNumId w:val="13"/>
  </w:num>
  <w:num w:numId="13" w16cid:durableId="369961043">
    <w:abstractNumId w:val="2"/>
  </w:num>
  <w:num w:numId="14" w16cid:durableId="1136722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3139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49657">
    <w:abstractNumId w:val="6"/>
  </w:num>
  <w:num w:numId="17" w16cid:durableId="162865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03C0F"/>
    <w:rsid w:val="00054426"/>
    <w:rsid w:val="00054BE7"/>
    <w:rsid w:val="00084F70"/>
    <w:rsid w:val="00087533"/>
    <w:rsid w:val="000A188F"/>
    <w:rsid w:val="000D7BDF"/>
    <w:rsid w:val="00127711"/>
    <w:rsid w:val="00152B21"/>
    <w:rsid w:val="001E43F9"/>
    <w:rsid w:val="002028AA"/>
    <w:rsid w:val="00207E85"/>
    <w:rsid w:val="00261DCA"/>
    <w:rsid w:val="003A7FAE"/>
    <w:rsid w:val="003D58F3"/>
    <w:rsid w:val="00444666"/>
    <w:rsid w:val="00571177"/>
    <w:rsid w:val="00592E06"/>
    <w:rsid w:val="005A1EA2"/>
    <w:rsid w:val="005F6BFA"/>
    <w:rsid w:val="00650AD5"/>
    <w:rsid w:val="00680764"/>
    <w:rsid w:val="006D0A6E"/>
    <w:rsid w:val="006F3983"/>
    <w:rsid w:val="00777387"/>
    <w:rsid w:val="00837FAD"/>
    <w:rsid w:val="008426B4"/>
    <w:rsid w:val="0085797D"/>
    <w:rsid w:val="008C65A4"/>
    <w:rsid w:val="00907737"/>
    <w:rsid w:val="00972265"/>
    <w:rsid w:val="0097691E"/>
    <w:rsid w:val="009B2970"/>
    <w:rsid w:val="009C10F0"/>
    <w:rsid w:val="009C2A45"/>
    <w:rsid w:val="00A95362"/>
    <w:rsid w:val="00AC4FDA"/>
    <w:rsid w:val="00AC6378"/>
    <w:rsid w:val="00AD3015"/>
    <w:rsid w:val="00B23C4D"/>
    <w:rsid w:val="00B819E7"/>
    <w:rsid w:val="00BA452E"/>
    <w:rsid w:val="00C10A21"/>
    <w:rsid w:val="00C3099B"/>
    <w:rsid w:val="00CB2C16"/>
    <w:rsid w:val="00CD3FD6"/>
    <w:rsid w:val="00CE3B35"/>
    <w:rsid w:val="00D039CF"/>
    <w:rsid w:val="00D050F6"/>
    <w:rsid w:val="00D127B2"/>
    <w:rsid w:val="00D20F14"/>
    <w:rsid w:val="00DB5BDF"/>
    <w:rsid w:val="00DE2066"/>
    <w:rsid w:val="00E031F3"/>
    <w:rsid w:val="00E17E9A"/>
    <w:rsid w:val="00EB6DF2"/>
    <w:rsid w:val="00F203E1"/>
    <w:rsid w:val="00F247A1"/>
    <w:rsid w:val="00F7741C"/>
    <w:rsid w:val="00F863D0"/>
    <w:rsid w:val="00F93BC2"/>
    <w:rsid w:val="00FA2AEA"/>
    <w:rsid w:val="00FF5D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paragraph" w:styleId="Ttulo1">
    <w:name w:val="heading 1"/>
    <w:basedOn w:val="Normal"/>
    <w:next w:val="Normal"/>
    <w:link w:val="Ttulo1Car"/>
    <w:uiPriority w:val="9"/>
    <w:qFormat/>
    <w:rsid w:val="00E17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 w:type="paragraph" w:styleId="NormalWeb">
    <w:name w:val="Normal (Web)"/>
    <w:basedOn w:val="Normal"/>
    <w:uiPriority w:val="99"/>
    <w:semiHidden/>
    <w:unhideWhenUsed/>
    <w:rsid w:val="00CD3FD6"/>
    <w:rPr>
      <w:rFonts w:ascii="Times New Roman" w:hAnsi="Times New Roman" w:cs="Times New Roman"/>
      <w:sz w:val="24"/>
      <w:szCs w:val="24"/>
    </w:rPr>
  </w:style>
  <w:style w:type="character" w:customStyle="1" w:styleId="Ttulo1Car">
    <w:name w:val="Título 1 Car"/>
    <w:basedOn w:val="Fuentedeprrafopredeter"/>
    <w:link w:val="Ttulo1"/>
    <w:uiPriority w:val="9"/>
    <w:rsid w:val="00E17E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136997034">
      <w:bodyDiv w:val="1"/>
      <w:marLeft w:val="0"/>
      <w:marRight w:val="0"/>
      <w:marTop w:val="0"/>
      <w:marBottom w:val="0"/>
      <w:divBdr>
        <w:top w:val="none" w:sz="0" w:space="0" w:color="auto"/>
        <w:left w:val="none" w:sz="0" w:space="0" w:color="auto"/>
        <w:bottom w:val="none" w:sz="0" w:space="0" w:color="auto"/>
        <w:right w:val="none" w:sz="0" w:space="0" w:color="auto"/>
      </w:divBdr>
    </w:div>
    <w:div w:id="204879628">
      <w:bodyDiv w:val="1"/>
      <w:marLeft w:val="0"/>
      <w:marRight w:val="0"/>
      <w:marTop w:val="0"/>
      <w:marBottom w:val="0"/>
      <w:divBdr>
        <w:top w:val="none" w:sz="0" w:space="0" w:color="auto"/>
        <w:left w:val="none" w:sz="0" w:space="0" w:color="auto"/>
        <w:bottom w:val="none" w:sz="0" w:space="0" w:color="auto"/>
        <w:right w:val="none" w:sz="0" w:space="0" w:color="auto"/>
      </w:divBdr>
    </w:div>
    <w:div w:id="237986651">
      <w:bodyDiv w:val="1"/>
      <w:marLeft w:val="0"/>
      <w:marRight w:val="0"/>
      <w:marTop w:val="0"/>
      <w:marBottom w:val="0"/>
      <w:divBdr>
        <w:top w:val="none" w:sz="0" w:space="0" w:color="auto"/>
        <w:left w:val="none" w:sz="0" w:space="0" w:color="auto"/>
        <w:bottom w:val="none" w:sz="0" w:space="0" w:color="auto"/>
        <w:right w:val="none" w:sz="0" w:space="0" w:color="auto"/>
      </w:divBdr>
    </w:div>
    <w:div w:id="298457221">
      <w:bodyDiv w:val="1"/>
      <w:marLeft w:val="0"/>
      <w:marRight w:val="0"/>
      <w:marTop w:val="0"/>
      <w:marBottom w:val="0"/>
      <w:divBdr>
        <w:top w:val="none" w:sz="0" w:space="0" w:color="auto"/>
        <w:left w:val="none" w:sz="0" w:space="0" w:color="auto"/>
        <w:bottom w:val="none" w:sz="0" w:space="0" w:color="auto"/>
        <w:right w:val="none" w:sz="0" w:space="0" w:color="auto"/>
      </w:divBdr>
    </w:div>
    <w:div w:id="301010909">
      <w:bodyDiv w:val="1"/>
      <w:marLeft w:val="0"/>
      <w:marRight w:val="0"/>
      <w:marTop w:val="0"/>
      <w:marBottom w:val="0"/>
      <w:divBdr>
        <w:top w:val="none" w:sz="0" w:space="0" w:color="auto"/>
        <w:left w:val="none" w:sz="0" w:space="0" w:color="auto"/>
        <w:bottom w:val="none" w:sz="0" w:space="0" w:color="auto"/>
        <w:right w:val="none" w:sz="0" w:space="0" w:color="auto"/>
      </w:divBdr>
    </w:div>
    <w:div w:id="405417542">
      <w:bodyDiv w:val="1"/>
      <w:marLeft w:val="0"/>
      <w:marRight w:val="0"/>
      <w:marTop w:val="0"/>
      <w:marBottom w:val="0"/>
      <w:divBdr>
        <w:top w:val="none" w:sz="0" w:space="0" w:color="auto"/>
        <w:left w:val="none" w:sz="0" w:space="0" w:color="auto"/>
        <w:bottom w:val="none" w:sz="0" w:space="0" w:color="auto"/>
        <w:right w:val="none" w:sz="0" w:space="0" w:color="auto"/>
      </w:divBdr>
    </w:div>
    <w:div w:id="461580602">
      <w:bodyDiv w:val="1"/>
      <w:marLeft w:val="0"/>
      <w:marRight w:val="0"/>
      <w:marTop w:val="0"/>
      <w:marBottom w:val="0"/>
      <w:divBdr>
        <w:top w:val="none" w:sz="0" w:space="0" w:color="auto"/>
        <w:left w:val="none" w:sz="0" w:space="0" w:color="auto"/>
        <w:bottom w:val="none" w:sz="0" w:space="0" w:color="auto"/>
        <w:right w:val="none" w:sz="0" w:space="0" w:color="auto"/>
      </w:divBdr>
    </w:div>
    <w:div w:id="538055834">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557670805">
      <w:bodyDiv w:val="1"/>
      <w:marLeft w:val="0"/>
      <w:marRight w:val="0"/>
      <w:marTop w:val="0"/>
      <w:marBottom w:val="0"/>
      <w:divBdr>
        <w:top w:val="none" w:sz="0" w:space="0" w:color="auto"/>
        <w:left w:val="none" w:sz="0" w:space="0" w:color="auto"/>
        <w:bottom w:val="none" w:sz="0" w:space="0" w:color="auto"/>
        <w:right w:val="none" w:sz="0" w:space="0" w:color="auto"/>
      </w:divBdr>
    </w:div>
    <w:div w:id="610671492">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670569086">
      <w:bodyDiv w:val="1"/>
      <w:marLeft w:val="0"/>
      <w:marRight w:val="0"/>
      <w:marTop w:val="0"/>
      <w:marBottom w:val="0"/>
      <w:divBdr>
        <w:top w:val="none" w:sz="0" w:space="0" w:color="auto"/>
        <w:left w:val="none" w:sz="0" w:space="0" w:color="auto"/>
        <w:bottom w:val="none" w:sz="0" w:space="0" w:color="auto"/>
        <w:right w:val="none" w:sz="0" w:space="0" w:color="auto"/>
      </w:divBdr>
    </w:div>
    <w:div w:id="716858916">
      <w:bodyDiv w:val="1"/>
      <w:marLeft w:val="0"/>
      <w:marRight w:val="0"/>
      <w:marTop w:val="0"/>
      <w:marBottom w:val="0"/>
      <w:divBdr>
        <w:top w:val="none" w:sz="0" w:space="0" w:color="auto"/>
        <w:left w:val="none" w:sz="0" w:space="0" w:color="auto"/>
        <w:bottom w:val="none" w:sz="0" w:space="0" w:color="auto"/>
        <w:right w:val="none" w:sz="0" w:space="0" w:color="auto"/>
      </w:divBdr>
    </w:div>
    <w:div w:id="811602941">
      <w:bodyDiv w:val="1"/>
      <w:marLeft w:val="0"/>
      <w:marRight w:val="0"/>
      <w:marTop w:val="0"/>
      <w:marBottom w:val="0"/>
      <w:divBdr>
        <w:top w:val="none" w:sz="0" w:space="0" w:color="auto"/>
        <w:left w:val="none" w:sz="0" w:space="0" w:color="auto"/>
        <w:bottom w:val="none" w:sz="0" w:space="0" w:color="auto"/>
        <w:right w:val="none" w:sz="0" w:space="0" w:color="auto"/>
      </w:divBdr>
    </w:div>
    <w:div w:id="1041513084">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094665145">
      <w:bodyDiv w:val="1"/>
      <w:marLeft w:val="0"/>
      <w:marRight w:val="0"/>
      <w:marTop w:val="0"/>
      <w:marBottom w:val="0"/>
      <w:divBdr>
        <w:top w:val="none" w:sz="0" w:space="0" w:color="auto"/>
        <w:left w:val="none" w:sz="0" w:space="0" w:color="auto"/>
        <w:bottom w:val="none" w:sz="0" w:space="0" w:color="auto"/>
        <w:right w:val="none" w:sz="0" w:space="0" w:color="auto"/>
      </w:divBdr>
    </w:div>
    <w:div w:id="1121532304">
      <w:bodyDiv w:val="1"/>
      <w:marLeft w:val="0"/>
      <w:marRight w:val="0"/>
      <w:marTop w:val="0"/>
      <w:marBottom w:val="0"/>
      <w:divBdr>
        <w:top w:val="none" w:sz="0" w:space="0" w:color="auto"/>
        <w:left w:val="none" w:sz="0" w:space="0" w:color="auto"/>
        <w:bottom w:val="none" w:sz="0" w:space="0" w:color="auto"/>
        <w:right w:val="none" w:sz="0" w:space="0" w:color="auto"/>
      </w:divBdr>
    </w:div>
    <w:div w:id="1199657243">
      <w:bodyDiv w:val="1"/>
      <w:marLeft w:val="0"/>
      <w:marRight w:val="0"/>
      <w:marTop w:val="0"/>
      <w:marBottom w:val="0"/>
      <w:divBdr>
        <w:top w:val="none" w:sz="0" w:space="0" w:color="auto"/>
        <w:left w:val="none" w:sz="0" w:space="0" w:color="auto"/>
        <w:bottom w:val="none" w:sz="0" w:space="0" w:color="auto"/>
        <w:right w:val="none" w:sz="0" w:space="0" w:color="auto"/>
      </w:divBdr>
    </w:div>
    <w:div w:id="1201824425">
      <w:bodyDiv w:val="1"/>
      <w:marLeft w:val="0"/>
      <w:marRight w:val="0"/>
      <w:marTop w:val="0"/>
      <w:marBottom w:val="0"/>
      <w:divBdr>
        <w:top w:val="none" w:sz="0" w:space="0" w:color="auto"/>
        <w:left w:val="none" w:sz="0" w:space="0" w:color="auto"/>
        <w:bottom w:val="none" w:sz="0" w:space="0" w:color="auto"/>
        <w:right w:val="none" w:sz="0" w:space="0" w:color="auto"/>
      </w:divBdr>
    </w:div>
    <w:div w:id="1376156530">
      <w:bodyDiv w:val="1"/>
      <w:marLeft w:val="0"/>
      <w:marRight w:val="0"/>
      <w:marTop w:val="0"/>
      <w:marBottom w:val="0"/>
      <w:divBdr>
        <w:top w:val="none" w:sz="0" w:space="0" w:color="auto"/>
        <w:left w:val="none" w:sz="0" w:space="0" w:color="auto"/>
        <w:bottom w:val="none" w:sz="0" w:space="0" w:color="auto"/>
        <w:right w:val="none" w:sz="0" w:space="0" w:color="auto"/>
      </w:divBdr>
    </w:div>
    <w:div w:id="1528834840">
      <w:bodyDiv w:val="1"/>
      <w:marLeft w:val="0"/>
      <w:marRight w:val="0"/>
      <w:marTop w:val="0"/>
      <w:marBottom w:val="0"/>
      <w:divBdr>
        <w:top w:val="none" w:sz="0" w:space="0" w:color="auto"/>
        <w:left w:val="none" w:sz="0" w:space="0" w:color="auto"/>
        <w:bottom w:val="none" w:sz="0" w:space="0" w:color="auto"/>
        <w:right w:val="none" w:sz="0" w:space="0" w:color="auto"/>
      </w:divBdr>
    </w:div>
    <w:div w:id="1582376463">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635938937">
      <w:bodyDiv w:val="1"/>
      <w:marLeft w:val="0"/>
      <w:marRight w:val="0"/>
      <w:marTop w:val="0"/>
      <w:marBottom w:val="0"/>
      <w:divBdr>
        <w:top w:val="none" w:sz="0" w:space="0" w:color="auto"/>
        <w:left w:val="none" w:sz="0" w:space="0" w:color="auto"/>
        <w:bottom w:val="none" w:sz="0" w:space="0" w:color="auto"/>
        <w:right w:val="none" w:sz="0" w:space="0" w:color="auto"/>
      </w:divBdr>
    </w:div>
    <w:div w:id="1682320607">
      <w:bodyDiv w:val="1"/>
      <w:marLeft w:val="0"/>
      <w:marRight w:val="0"/>
      <w:marTop w:val="0"/>
      <w:marBottom w:val="0"/>
      <w:divBdr>
        <w:top w:val="none" w:sz="0" w:space="0" w:color="auto"/>
        <w:left w:val="none" w:sz="0" w:space="0" w:color="auto"/>
        <w:bottom w:val="none" w:sz="0" w:space="0" w:color="auto"/>
        <w:right w:val="none" w:sz="0" w:space="0" w:color="auto"/>
      </w:divBdr>
    </w:div>
    <w:div w:id="1696006791">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1729301826">
      <w:bodyDiv w:val="1"/>
      <w:marLeft w:val="0"/>
      <w:marRight w:val="0"/>
      <w:marTop w:val="0"/>
      <w:marBottom w:val="0"/>
      <w:divBdr>
        <w:top w:val="none" w:sz="0" w:space="0" w:color="auto"/>
        <w:left w:val="none" w:sz="0" w:space="0" w:color="auto"/>
        <w:bottom w:val="none" w:sz="0" w:space="0" w:color="auto"/>
        <w:right w:val="none" w:sz="0" w:space="0" w:color="auto"/>
      </w:divBdr>
    </w:div>
    <w:div w:id="1963227301">
      <w:bodyDiv w:val="1"/>
      <w:marLeft w:val="0"/>
      <w:marRight w:val="0"/>
      <w:marTop w:val="0"/>
      <w:marBottom w:val="0"/>
      <w:divBdr>
        <w:top w:val="none" w:sz="0" w:space="0" w:color="auto"/>
        <w:left w:val="none" w:sz="0" w:space="0" w:color="auto"/>
        <w:bottom w:val="none" w:sz="0" w:space="0" w:color="auto"/>
        <w:right w:val="none" w:sz="0" w:space="0" w:color="auto"/>
      </w:divBdr>
    </w:div>
    <w:div w:id="2025128357">
      <w:bodyDiv w:val="1"/>
      <w:marLeft w:val="0"/>
      <w:marRight w:val="0"/>
      <w:marTop w:val="0"/>
      <w:marBottom w:val="0"/>
      <w:divBdr>
        <w:top w:val="none" w:sz="0" w:space="0" w:color="auto"/>
        <w:left w:val="none" w:sz="0" w:space="0" w:color="auto"/>
        <w:bottom w:val="none" w:sz="0" w:space="0" w:color="auto"/>
        <w:right w:val="none" w:sz="0" w:space="0" w:color="auto"/>
      </w:divBdr>
    </w:div>
    <w:div w:id="2039968474">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 w:id="2141528205">
      <w:bodyDiv w:val="1"/>
      <w:marLeft w:val="0"/>
      <w:marRight w:val="0"/>
      <w:marTop w:val="0"/>
      <w:marBottom w:val="0"/>
      <w:divBdr>
        <w:top w:val="none" w:sz="0" w:space="0" w:color="auto"/>
        <w:left w:val="none" w:sz="0" w:space="0" w:color="auto"/>
        <w:bottom w:val="none" w:sz="0" w:space="0" w:color="auto"/>
        <w:right w:val="none" w:sz="0" w:space="0" w:color="auto"/>
      </w:divBdr>
    </w:div>
    <w:div w:id="21472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790</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Felipe Farias Cortés</cp:lastModifiedBy>
  <cp:revision>3</cp:revision>
  <cp:lastPrinted>2023-11-29T19:10:00Z</cp:lastPrinted>
  <dcterms:created xsi:type="dcterms:W3CDTF">2025-06-27T14:29:00Z</dcterms:created>
  <dcterms:modified xsi:type="dcterms:W3CDTF">2025-06-27T14:36:00Z</dcterms:modified>
</cp:coreProperties>
</file>