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6E87" w14:textId="77777777" w:rsidR="00907737" w:rsidRDefault="00907737" w:rsidP="00DE2066">
      <w:pPr>
        <w:pStyle w:val="Prrafodelista"/>
        <w:jc w:val="center"/>
        <w:rPr>
          <w:rFonts w:ascii="gobCL" w:hAnsi="gobCL"/>
          <w:b/>
          <w:u w:val="single"/>
        </w:rPr>
      </w:pPr>
      <w:r>
        <w:rPr>
          <w:rFonts w:ascii="gobCL" w:hAnsi="gobCL"/>
          <w:b/>
          <w:u w:val="single"/>
        </w:rPr>
        <w:t>ACLARACIONES A BASES ADMINISTRATIVAS SUBASTA PERMISOS EXTRAORDINARIOS DE PESCA</w:t>
      </w:r>
    </w:p>
    <w:p w14:paraId="479505F0" w14:textId="77777777" w:rsidR="00907737" w:rsidRDefault="00907737" w:rsidP="00DE2066">
      <w:pPr>
        <w:pStyle w:val="Prrafodelista"/>
        <w:jc w:val="center"/>
        <w:rPr>
          <w:rFonts w:ascii="gobCL" w:hAnsi="gobCL"/>
          <w:b/>
        </w:rPr>
      </w:pPr>
    </w:p>
    <w:p w14:paraId="3B119A4F" w14:textId="48BA5EE0" w:rsidR="00907737" w:rsidRDefault="00907737" w:rsidP="00907737">
      <w:pPr>
        <w:jc w:val="both"/>
        <w:rPr>
          <w:rFonts w:ascii="gobCL" w:hAnsi="gobCL"/>
        </w:rPr>
      </w:pPr>
      <w:r>
        <w:rPr>
          <w:rFonts w:ascii="gobCL" w:hAnsi="gobCL"/>
          <w:b/>
        </w:rPr>
        <w:t xml:space="preserve">Aclaraciones a las bases dirigidas al correo electrónico </w:t>
      </w:r>
      <w:hyperlink r:id="rId8" w:history="1">
        <w:r>
          <w:rPr>
            <w:rStyle w:val="Hipervnculo"/>
            <w:rFonts w:ascii="gobCL" w:hAnsi="gobCL"/>
            <w:b/>
          </w:rPr>
          <w:t>subastapublica@subpesca.cl</w:t>
        </w:r>
      </w:hyperlink>
      <w:r>
        <w:rPr>
          <w:rFonts w:ascii="gobCL" w:hAnsi="gobCL"/>
          <w:b/>
        </w:rPr>
        <w:t xml:space="preserve"> a la fecha de 2</w:t>
      </w:r>
      <w:r w:rsidR="00D050F6">
        <w:rPr>
          <w:rFonts w:ascii="gobCL" w:hAnsi="gobCL"/>
          <w:b/>
        </w:rPr>
        <w:t>9</w:t>
      </w:r>
      <w:r>
        <w:rPr>
          <w:rFonts w:ascii="gobCL" w:hAnsi="gobCL"/>
          <w:b/>
        </w:rPr>
        <w:t xml:space="preserve"> noviembre de 202</w:t>
      </w:r>
      <w:r w:rsidR="00D050F6">
        <w:rPr>
          <w:rFonts w:ascii="gobCL" w:hAnsi="gobCL"/>
          <w:b/>
        </w:rPr>
        <w:t>3</w:t>
      </w:r>
      <w:r>
        <w:rPr>
          <w:rFonts w:ascii="gobCL" w:hAnsi="gobCL"/>
          <w:b/>
        </w:rPr>
        <w:t>, según el orden de llegada y dentro del plazo de 3 días hábiles.</w:t>
      </w:r>
    </w:p>
    <w:p w14:paraId="309AEBD5" w14:textId="629B4DBE" w:rsidR="00D050F6" w:rsidRPr="00D050F6" w:rsidRDefault="00907737" w:rsidP="00D050F6">
      <w:pPr>
        <w:spacing w:after="0" w:line="240" w:lineRule="auto"/>
        <w:jc w:val="both"/>
        <w:rPr>
          <w:rFonts w:ascii="gobCL" w:eastAsia="Calibri" w:hAnsi="gobCL" w:cs="Calibri"/>
          <w:lang w:eastAsia="es-CL"/>
        </w:rPr>
      </w:pPr>
      <w:r>
        <w:rPr>
          <w:rFonts w:ascii="gobCL" w:hAnsi="gobCL"/>
        </w:rPr>
        <w:t>1</w:t>
      </w:r>
      <w:r w:rsidRPr="00D050F6">
        <w:rPr>
          <w:rFonts w:ascii="gobCL" w:eastAsia="Calibri" w:hAnsi="gobCL" w:cs="Calibri"/>
          <w:lang w:eastAsia="es-CL"/>
        </w:rPr>
        <w:t xml:space="preserve">.- </w:t>
      </w:r>
      <w:r w:rsidR="00D050F6" w:rsidRPr="00D050F6">
        <w:rPr>
          <w:rFonts w:ascii="gobCL" w:eastAsia="Calibri" w:hAnsi="gobCL" w:cs="Calibri"/>
          <w:lang w:eastAsia="es-CL"/>
        </w:rPr>
        <w:t>En relación a la R.</w:t>
      </w:r>
      <w:r w:rsidR="00D050F6">
        <w:rPr>
          <w:rFonts w:ascii="gobCL" w:eastAsia="Calibri" w:hAnsi="gobCL" w:cs="Calibri"/>
          <w:lang w:eastAsia="es-CL"/>
        </w:rPr>
        <w:t xml:space="preserve"> </w:t>
      </w:r>
      <w:r w:rsidR="00D050F6" w:rsidRPr="00D050F6">
        <w:rPr>
          <w:rFonts w:ascii="gobCL" w:eastAsia="Calibri" w:hAnsi="gobCL" w:cs="Calibri"/>
          <w:lang w:eastAsia="es-CL"/>
        </w:rPr>
        <w:t xml:space="preserve">Ex CERO PAPEL </w:t>
      </w:r>
      <w:proofErr w:type="spellStart"/>
      <w:r w:rsidR="00D050F6" w:rsidRPr="00D050F6">
        <w:rPr>
          <w:rFonts w:ascii="gobCL" w:eastAsia="Calibri" w:hAnsi="gobCL" w:cs="Calibri"/>
          <w:lang w:eastAsia="es-CL"/>
        </w:rPr>
        <w:t>N°</w:t>
      </w:r>
      <w:proofErr w:type="spellEnd"/>
      <w:r w:rsidR="00D050F6" w:rsidRPr="00D050F6">
        <w:rPr>
          <w:rFonts w:ascii="gobCL" w:eastAsia="Calibri" w:hAnsi="gobCL" w:cs="Calibri"/>
          <w:lang w:eastAsia="es-CL"/>
        </w:rPr>
        <w:t xml:space="preserve"> 458 de 2023 que contiene las bases administrativas de la licitación del bacalao de profundidad agradeceré aclarar si es obligación para los adjudicatarios que operarán sus permisos extraordinarios de pesca con embarcaciones mayores de 15 metros</w:t>
      </w:r>
      <w:r w:rsidR="00D050F6">
        <w:rPr>
          <w:rFonts w:ascii="Calibri" w:eastAsia="Calibri" w:hAnsi="Calibri" w:cs="Calibri"/>
          <w:lang w:eastAsia="es-CL"/>
        </w:rPr>
        <w:t xml:space="preserve"> </w:t>
      </w:r>
      <w:r w:rsidR="00D050F6" w:rsidRPr="00D050F6">
        <w:rPr>
          <w:rFonts w:ascii="gobCL" w:eastAsia="Calibri" w:hAnsi="gobCL" w:cs="Calibri"/>
          <w:lang w:eastAsia="es-CL"/>
        </w:rPr>
        <w:t xml:space="preserve"> cumplir con lo se</w:t>
      </w:r>
      <w:r w:rsidR="00D050F6" w:rsidRPr="00D050F6">
        <w:rPr>
          <w:rFonts w:ascii="gobCL" w:eastAsia="Calibri" w:hAnsi="gobCL" w:cs="gobCL"/>
          <w:lang w:eastAsia="es-CL"/>
        </w:rPr>
        <w:t>ñ</w:t>
      </w:r>
      <w:r w:rsidR="00D050F6" w:rsidRPr="00D050F6">
        <w:rPr>
          <w:rFonts w:ascii="gobCL" w:eastAsia="Calibri" w:hAnsi="gobCL" w:cs="Calibri"/>
          <w:lang w:eastAsia="es-CL"/>
        </w:rPr>
        <w:t>alado en el art</w:t>
      </w:r>
      <w:r w:rsidR="00D050F6" w:rsidRPr="00D050F6">
        <w:rPr>
          <w:rFonts w:ascii="gobCL" w:eastAsia="Calibri" w:hAnsi="gobCL" w:cs="gobCL"/>
          <w:lang w:eastAsia="es-CL"/>
        </w:rPr>
        <w:t>í</w:t>
      </w:r>
      <w:r w:rsidR="00D050F6" w:rsidRPr="00D050F6">
        <w:rPr>
          <w:rFonts w:ascii="gobCL" w:eastAsia="Calibri" w:hAnsi="gobCL" w:cs="Calibri"/>
          <w:lang w:eastAsia="es-CL"/>
        </w:rPr>
        <w:t>culo 64 I de la Ley de Pesca, que se refiere a la instalaci</w:t>
      </w:r>
      <w:r w:rsidR="00D050F6" w:rsidRPr="00D050F6">
        <w:rPr>
          <w:rFonts w:ascii="gobCL" w:eastAsia="Calibri" w:hAnsi="gobCL" w:cs="gobCL"/>
          <w:lang w:eastAsia="es-CL"/>
        </w:rPr>
        <w:t>ó</w:t>
      </w:r>
      <w:r w:rsidR="00D050F6" w:rsidRPr="00D050F6">
        <w:rPr>
          <w:rFonts w:ascii="gobCL" w:eastAsia="Calibri" w:hAnsi="gobCL" w:cs="Calibri"/>
          <w:lang w:eastAsia="es-CL"/>
        </w:rPr>
        <w:t>n a bordo y mantener en funcionamiento un registro de im</w:t>
      </w:r>
      <w:r w:rsidR="00D050F6" w:rsidRPr="00D050F6">
        <w:rPr>
          <w:rFonts w:ascii="gobCL" w:eastAsia="Calibri" w:hAnsi="gobCL" w:cs="gobCL"/>
          <w:lang w:eastAsia="es-CL"/>
        </w:rPr>
        <w:t>á</w:t>
      </w:r>
      <w:r w:rsidR="00D050F6" w:rsidRPr="00D050F6">
        <w:rPr>
          <w:rFonts w:ascii="gobCL" w:eastAsia="Calibri" w:hAnsi="gobCL" w:cs="Calibri"/>
          <w:lang w:eastAsia="es-CL"/>
        </w:rPr>
        <w:t>genes que permita detectar y registrar toda acci</w:t>
      </w:r>
      <w:r w:rsidR="00D050F6" w:rsidRPr="00D050F6">
        <w:rPr>
          <w:rFonts w:ascii="gobCL" w:eastAsia="Calibri" w:hAnsi="gobCL" w:cs="gobCL"/>
          <w:lang w:eastAsia="es-CL"/>
        </w:rPr>
        <w:t>ó</w:t>
      </w:r>
      <w:r w:rsidR="00D050F6" w:rsidRPr="00D050F6">
        <w:rPr>
          <w:rFonts w:ascii="gobCL" w:eastAsia="Calibri" w:hAnsi="gobCL" w:cs="Calibri"/>
          <w:lang w:eastAsia="es-CL"/>
        </w:rPr>
        <w:t>n de descarte que pueda ocurrir a bordo.</w:t>
      </w:r>
    </w:p>
    <w:p w14:paraId="42561861" w14:textId="77777777" w:rsidR="00D050F6" w:rsidRPr="00D050F6" w:rsidRDefault="00D050F6" w:rsidP="00D050F6">
      <w:pPr>
        <w:spacing w:after="0" w:line="240" w:lineRule="auto"/>
        <w:jc w:val="both"/>
        <w:rPr>
          <w:rFonts w:ascii="gobCL" w:eastAsia="Calibri" w:hAnsi="gobCL" w:cs="Calibri"/>
          <w:lang w:eastAsia="es-CL"/>
        </w:rPr>
      </w:pPr>
    </w:p>
    <w:p w14:paraId="7BF21E72" w14:textId="1B40D6E2" w:rsidR="00D050F6" w:rsidRPr="00D050F6" w:rsidRDefault="00D050F6" w:rsidP="00D050F6">
      <w:pPr>
        <w:spacing w:after="0" w:line="240" w:lineRule="auto"/>
        <w:jc w:val="both"/>
        <w:rPr>
          <w:rFonts w:ascii="gobCL" w:eastAsia="Calibri" w:hAnsi="gobCL" w:cs="Calibri"/>
          <w:lang w:eastAsia="es-CL"/>
        </w:rPr>
      </w:pPr>
      <w:r w:rsidRPr="00D050F6">
        <w:rPr>
          <w:rFonts w:ascii="gobCL" w:eastAsia="Calibri" w:hAnsi="gobCL" w:cs="Calibri"/>
          <w:lang w:eastAsia="es-CL"/>
        </w:rPr>
        <w:t xml:space="preserve">La consulta tiene sentido por cuanto en el punto 15, Obligaciones del Adjudicatario sólo se indica la obligación de instalar y mantener operativo el posicionador satelital de acuerdo al artículo 64 </w:t>
      </w:r>
      <w:proofErr w:type="gramStart"/>
      <w:r w:rsidRPr="00D050F6">
        <w:rPr>
          <w:rFonts w:ascii="gobCL" w:eastAsia="Calibri" w:hAnsi="gobCL" w:cs="Calibri"/>
          <w:lang w:eastAsia="es-CL"/>
        </w:rPr>
        <w:t>B</w:t>
      </w:r>
      <w:proofErr w:type="gramEnd"/>
      <w:r w:rsidRPr="00D050F6">
        <w:rPr>
          <w:rFonts w:ascii="gobCL" w:eastAsia="Calibri" w:hAnsi="gobCL" w:cs="Calibri"/>
          <w:lang w:eastAsia="es-CL"/>
        </w:rPr>
        <w:t xml:space="preserve"> pero, no menciona lo dispuesto en el artículo 64 I,</w:t>
      </w:r>
      <w:r>
        <w:rPr>
          <w:rFonts w:ascii="gobCL" w:eastAsia="Calibri" w:hAnsi="gobCL" w:cs="Calibri"/>
          <w:lang w:eastAsia="es-CL"/>
        </w:rPr>
        <w:t xml:space="preserve"> </w:t>
      </w:r>
      <w:r w:rsidRPr="00D050F6">
        <w:rPr>
          <w:rFonts w:ascii="gobCL" w:eastAsia="Calibri" w:hAnsi="gobCL" w:cs="Calibri"/>
          <w:lang w:eastAsia="es-CL"/>
        </w:rPr>
        <w:t>que entra en vigencia el primero de Enero de 2024, sin embargo, en el punto 15 i de las bases se dice que " EN GENERAL, SE DEBE DAR CUMPLIMIENTO A LAS NORMAS REGLAMENTARIAS Y LEGALES VIGENTES</w:t>
      </w:r>
      <w:r w:rsidR="00972265" w:rsidRPr="00D050F6">
        <w:rPr>
          <w:rFonts w:ascii="gobCL" w:eastAsia="Calibri" w:hAnsi="gobCL" w:cs="Calibri"/>
          <w:lang w:eastAsia="es-CL"/>
        </w:rPr>
        <w:t>”. -</w:t>
      </w:r>
    </w:p>
    <w:p w14:paraId="081C95DB" w14:textId="77777777" w:rsidR="00972265" w:rsidRDefault="00972265" w:rsidP="00907737">
      <w:pPr>
        <w:spacing w:line="240" w:lineRule="auto"/>
        <w:jc w:val="both"/>
        <w:rPr>
          <w:rFonts w:ascii="gobCL" w:hAnsi="gobCL"/>
        </w:rPr>
      </w:pPr>
    </w:p>
    <w:p w14:paraId="43203012" w14:textId="3CD20B0B" w:rsidR="00972265" w:rsidRPr="00C10A21" w:rsidRDefault="00972265" w:rsidP="00907737">
      <w:pPr>
        <w:spacing w:line="240" w:lineRule="auto"/>
        <w:jc w:val="both"/>
        <w:rPr>
          <w:rFonts w:ascii="gobCL" w:hAnsi="gobCL"/>
          <w:b/>
          <w:color w:val="2F5496" w:themeColor="accent1" w:themeShade="BF"/>
        </w:rPr>
      </w:pPr>
      <w:proofErr w:type="gramStart"/>
      <w:r w:rsidRPr="00C10A21">
        <w:rPr>
          <w:rFonts w:ascii="gobCL" w:hAnsi="gobCL"/>
          <w:b/>
          <w:color w:val="2F5496" w:themeColor="accent1" w:themeShade="BF"/>
        </w:rPr>
        <w:t>Recordar</w:t>
      </w:r>
      <w:proofErr w:type="gramEnd"/>
      <w:r w:rsidRPr="00C10A21">
        <w:rPr>
          <w:rFonts w:ascii="gobCL" w:hAnsi="gobCL"/>
          <w:b/>
          <w:color w:val="2F5496" w:themeColor="accent1" w:themeShade="BF"/>
        </w:rPr>
        <w:t xml:space="preserve"> que las aclaraciones deben referirse a las bases, la consulta dice relación con la operatoria del permiso una vez adjudicado.</w:t>
      </w:r>
    </w:p>
    <w:p w14:paraId="296E9F3D" w14:textId="21EEAC4D" w:rsidR="00972265" w:rsidRPr="00C10A21" w:rsidRDefault="00972265" w:rsidP="00907737">
      <w:pPr>
        <w:spacing w:line="240" w:lineRule="auto"/>
        <w:jc w:val="both"/>
        <w:rPr>
          <w:rFonts w:ascii="gobCL" w:hAnsi="gobCL"/>
          <w:b/>
          <w:color w:val="2F5496" w:themeColor="accent1" w:themeShade="BF"/>
        </w:rPr>
      </w:pPr>
      <w:r w:rsidRPr="00C10A21">
        <w:rPr>
          <w:rFonts w:ascii="gobCL" w:hAnsi="gobCL"/>
          <w:b/>
          <w:color w:val="2F5496" w:themeColor="accent1" w:themeShade="BF"/>
        </w:rPr>
        <w:t xml:space="preserve">Sin perjuicio de lo anterior, se debe tener presente que la implementación del artículo 64 I </w:t>
      </w:r>
      <w:r w:rsidR="00C10A21">
        <w:rPr>
          <w:rFonts w:ascii="gobCL" w:hAnsi="gobCL"/>
          <w:b/>
          <w:color w:val="2F5496" w:themeColor="accent1" w:themeShade="BF"/>
        </w:rPr>
        <w:t xml:space="preserve">le </w:t>
      </w:r>
      <w:r w:rsidRPr="00C10A21">
        <w:rPr>
          <w:rFonts w:ascii="gobCL" w:hAnsi="gobCL"/>
          <w:b/>
          <w:color w:val="2F5496" w:themeColor="accent1" w:themeShade="BF"/>
        </w:rPr>
        <w:t xml:space="preserve">corresponde al Servicio Nacional de Pesca y Acuicultura </w:t>
      </w:r>
      <w:r w:rsidR="00C10A21">
        <w:rPr>
          <w:rFonts w:ascii="gobCL" w:hAnsi="gobCL"/>
          <w:b/>
          <w:color w:val="2F5496" w:themeColor="accent1" w:themeShade="BF"/>
        </w:rPr>
        <w:t>y que los permisos extraordinarios de pesca tienen una vigencia de 10 años, por ello se debe dar cumplimiento a toda la normativa aplicable en dicho periodo.</w:t>
      </w:r>
    </w:p>
    <w:p w14:paraId="7DFBF824" w14:textId="2CB6FBCE" w:rsidR="00D050F6" w:rsidRPr="00D050F6" w:rsidRDefault="00907737" w:rsidP="00D050F6">
      <w:pPr>
        <w:jc w:val="both"/>
        <w:rPr>
          <w:rFonts w:ascii="gobCL" w:eastAsia="Calibri" w:hAnsi="gobCL" w:cs="Calibri"/>
        </w:rPr>
      </w:pPr>
      <w:r w:rsidRPr="00D050F6">
        <w:rPr>
          <w:rFonts w:ascii="gobCL" w:eastAsia="Calibri" w:hAnsi="gobCL" w:cs="Calibri"/>
          <w:lang w:eastAsia="es-CL"/>
        </w:rPr>
        <w:t xml:space="preserve">2.- </w:t>
      </w:r>
      <w:r w:rsidR="00D050F6" w:rsidRPr="00D050F6">
        <w:rPr>
          <w:rFonts w:ascii="gobCL" w:eastAsia="Calibri" w:hAnsi="gobCL" w:cs="Calibri"/>
        </w:rPr>
        <w:t xml:space="preserve">En relación a las bases de la licitación de bacalao de profundidad contenida en la </w:t>
      </w:r>
      <w:proofErr w:type="spellStart"/>
      <w:proofErr w:type="gramStart"/>
      <w:r w:rsidR="00D050F6" w:rsidRPr="00D050F6">
        <w:rPr>
          <w:rFonts w:ascii="gobCL" w:eastAsia="Calibri" w:hAnsi="gobCL" w:cs="Calibri"/>
        </w:rPr>
        <w:t>R.Ex</w:t>
      </w:r>
      <w:proofErr w:type="spellEnd"/>
      <w:proofErr w:type="gramEnd"/>
      <w:r w:rsidR="00D050F6" w:rsidRPr="00D050F6">
        <w:rPr>
          <w:rFonts w:ascii="gobCL" w:eastAsia="Calibri" w:hAnsi="gobCL" w:cs="Calibri"/>
        </w:rPr>
        <w:t xml:space="preserve"> Cero Papel </w:t>
      </w:r>
      <w:proofErr w:type="spellStart"/>
      <w:r w:rsidR="00D050F6" w:rsidRPr="00D050F6">
        <w:rPr>
          <w:rFonts w:ascii="gobCL" w:eastAsia="Calibri" w:hAnsi="gobCL" w:cs="Calibri"/>
        </w:rPr>
        <w:t>N°</w:t>
      </w:r>
      <w:proofErr w:type="spellEnd"/>
      <w:r w:rsidR="00D050F6" w:rsidRPr="00D050F6">
        <w:rPr>
          <w:rFonts w:ascii="gobCL" w:eastAsia="Calibri" w:hAnsi="gobCL" w:cs="Calibri"/>
        </w:rPr>
        <w:t xml:space="preserve"> 458 de 2023, me puede indicar que antecedentes administrativos, debe proporcionar una persona natural para postular. Esto es además</w:t>
      </w:r>
      <w:r w:rsidR="00D050F6" w:rsidRPr="00D050F6">
        <w:rPr>
          <w:rFonts w:ascii="Calibri" w:eastAsia="Calibri" w:hAnsi="Calibri" w:cs="Calibri"/>
        </w:rPr>
        <w:t> </w:t>
      </w:r>
      <w:r w:rsidR="00D050F6" w:rsidRPr="00D050F6">
        <w:rPr>
          <w:rFonts w:ascii="gobCL" w:eastAsia="Calibri" w:hAnsi="gobCL" w:cs="Calibri"/>
        </w:rPr>
        <w:t xml:space="preserve">de </w:t>
      </w:r>
      <w:proofErr w:type="gramStart"/>
      <w:r w:rsidR="00D050F6" w:rsidRPr="00D050F6">
        <w:rPr>
          <w:rFonts w:ascii="gobCL" w:eastAsia="Calibri" w:hAnsi="gobCL" w:cs="Calibri"/>
        </w:rPr>
        <w:t>carnet</w:t>
      </w:r>
      <w:proofErr w:type="gramEnd"/>
      <w:r w:rsidR="00D050F6" w:rsidRPr="00D050F6">
        <w:rPr>
          <w:rFonts w:ascii="gobCL" w:eastAsia="Calibri" w:hAnsi="gobCL" w:cs="Calibri"/>
        </w:rPr>
        <w:t xml:space="preserve"> de identidad legalizado y la declaraci</w:t>
      </w:r>
      <w:r w:rsidR="00D050F6" w:rsidRPr="00D050F6">
        <w:rPr>
          <w:rFonts w:ascii="gobCL" w:eastAsia="Calibri" w:hAnsi="gobCL" w:cs="gobCL"/>
        </w:rPr>
        <w:t>ó</w:t>
      </w:r>
      <w:r w:rsidR="00D050F6" w:rsidRPr="00D050F6">
        <w:rPr>
          <w:rFonts w:ascii="gobCL" w:eastAsia="Calibri" w:hAnsi="gobCL" w:cs="Calibri"/>
        </w:rPr>
        <w:t>n jurada donde declare que no tiene relaci</w:t>
      </w:r>
      <w:r w:rsidR="00D050F6" w:rsidRPr="00D050F6">
        <w:rPr>
          <w:rFonts w:ascii="gobCL" w:eastAsia="Calibri" w:hAnsi="gobCL" w:cs="gobCL"/>
        </w:rPr>
        <w:t>ó</w:t>
      </w:r>
      <w:r w:rsidR="00D050F6" w:rsidRPr="00D050F6">
        <w:rPr>
          <w:rFonts w:ascii="gobCL" w:eastAsia="Calibri" w:hAnsi="gobCL" w:cs="Calibri"/>
        </w:rPr>
        <w:t>n directa o a trav</w:t>
      </w:r>
      <w:r w:rsidR="00D050F6" w:rsidRPr="00D050F6">
        <w:rPr>
          <w:rFonts w:ascii="gobCL" w:eastAsia="Calibri" w:hAnsi="gobCL" w:cs="gobCL"/>
        </w:rPr>
        <w:t>é</w:t>
      </w:r>
      <w:r w:rsidR="00D050F6" w:rsidRPr="00D050F6">
        <w:rPr>
          <w:rFonts w:ascii="gobCL" w:eastAsia="Calibri" w:hAnsi="gobCL" w:cs="Calibri"/>
        </w:rPr>
        <w:t>s de terceras personas con</w:t>
      </w:r>
      <w:r w:rsidR="00C10A21">
        <w:rPr>
          <w:rFonts w:ascii="Calibri" w:eastAsia="Calibri" w:hAnsi="Calibri" w:cs="Calibri"/>
        </w:rPr>
        <w:t xml:space="preserve"> </w:t>
      </w:r>
      <w:r w:rsidR="00D050F6" w:rsidRPr="00D050F6">
        <w:rPr>
          <w:rFonts w:ascii="gobCL" w:eastAsia="Calibri" w:hAnsi="gobCL" w:cs="Calibri"/>
        </w:rPr>
        <w:t>otros participantes en la subasta.</w:t>
      </w:r>
    </w:p>
    <w:p w14:paraId="22F19914" w14:textId="6E33FBD9" w:rsidR="00D050F6" w:rsidRDefault="00D050F6" w:rsidP="00D050F6">
      <w:pPr>
        <w:jc w:val="both"/>
        <w:rPr>
          <w:rFonts w:ascii="gobCL" w:eastAsia="Calibri" w:hAnsi="gobCL" w:cs="Calibri"/>
        </w:rPr>
      </w:pPr>
      <w:r w:rsidRPr="00D050F6">
        <w:rPr>
          <w:rFonts w:ascii="gobCL" w:eastAsia="Calibri" w:hAnsi="gobCL" w:cs="Calibri"/>
        </w:rPr>
        <w:t xml:space="preserve">Además le agradeceré informar los antecedentes administrativos que debe proporcionar una persona jurídica que no se encuentra inscrita en los Registros que lleva el Servicio Nacional de </w:t>
      </w:r>
      <w:proofErr w:type="gramStart"/>
      <w:r w:rsidRPr="00D050F6">
        <w:rPr>
          <w:rFonts w:ascii="gobCL" w:eastAsia="Calibri" w:hAnsi="gobCL" w:cs="Calibri"/>
        </w:rPr>
        <w:t>Pesca .</w:t>
      </w:r>
      <w:proofErr w:type="gramEnd"/>
      <w:r w:rsidR="00680764">
        <w:rPr>
          <w:rFonts w:ascii="gobCL" w:eastAsia="Calibri" w:hAnsi="gobCL" w:cs="Calibri"/>
        </w:rPr>
        <w:t>—</w:t>
      </w:r>
    </w:p>
    <w:p w14:paraId="68B6AC1D" w14:textId="554F9000" w:rsidR="00680764" w:rsidRPr="00F247A1" w:rsidRDefault="00680764" w:rsidP="00F247A1">
      <w:pPr>
        <w:spacing w:line="240" w:lineRule="auto"/>
        <w:jc w:val="both"/>
        <w:rPr>
          <w:rFonts w:ascii="gobCL" w:hAnsi="gobCL"/>
          <w:b/>
          <w:color w:val="2F5496" w:themeColor="accent1" w:themeShade="BF"/>
        </w:rPr>
      </w:pPr>
      <w:proofErr w:type="gramStart"/>
      <w:r w:rsidRPr="00F247A1">
        <w:rPr>
          <w:rFonts w:ascii="gobCL" w:hAnsi="gobCL"/>
          <w:b/>
          <w:color w:val="2F5496" w:themeColor="accent1" w:themeShade="BF"/>
        </w:rPr>
        <w:t>De acuerdo al</w:t>
      </w:r>
      <w:proofErr w:type="gramEnd"/>
      <w:r w:rsidRPr="00F247A1">
        <w:rPr>
          <w:rFonts w:ascii="gobCL" w:hAnsi="gobCL"/>
          <w:b/>
          <w:color w:val="2F5496" w:themeColor="accent1" w:themeShade="BF"/>
        </w:rPr>
        <w:t xml:space="preserve"> punto 8 de las bases administrativas:</w:t>
      </w:r>
    </w:p>
    <w:p w14:paraId="3F904026" w14:textId="77777777" w:rsidR="00680764" w:rsidRPr="00C10A21" w:rsidRDefault="00680764" w:rsidP="00680764">
      <w:pPr>
        <w:numPr>
          <w:ilvl w:val="0"/>
          <w:numId w:val="3"/>
        </w:num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u w:val="single"/>
          <w:lang w:val="es-ES_tradnl" w:eastAsia="es-ES"/>
        </w:rPr>
      </w:pPr>
      <w:r w:rsidRPr="00C10A21">
        <w:rPr>
          <w:rFonts w:ascii="gobCL" w:eastAsia="Times New Roman" w:hAnsi="gobCL" w:cs="Arial"/>
          <w:b/>
          <w:color w:val="2F5496" w:themeColor="accent1" w:themeShade="BF"/>
          <w:u w:val="single"/>
          <w:lang w:val="es-ES_tradnl" w:eastAsia="es-ES"/>
        </w:rPr>
        <w:t>Persona Natural:</w:t>
      </w:r>
    </w:p>
    <w:p w14:paraId="1BF9C0A2" w14:textId="77777777" w:rsidR="00680764" w:rsidRPr="00C10A21"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575FBDA0" w14:textId="77777777" w:rsidR="00680764" w:rsidRPr="00C10A21" w:rsidRDefault="00680764" w:rsidP="00680764">
      <w:pPr>
        <w:numPr>
          <w:ilvl w:val="0"/>
          <w:numId w:val="4"/>
        </w:num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r w:rsidRPr="00C10A21">
        <w:rPr>
          <w:rFonts w:ascii="gobCL" w:eastAsia="Times New Roman" w:hAnsi="gobCL" w:cs="Arial"/>
          <w:b/>
          <w:color w:val="2F5496" w:themeColor="accent1" w:themeShade="BF"/>
          <w:lang w:val="es-ES_tradnl" w:eastAsia="es-ES"/>
        </w:rPr>
        <w:t>Entregar la o las garantías de seriedad de la oferta.</w:t>
      </w:r>
    </w:p>
    <w:p w14:paraId="0EFA7480" w14:textId="77777777" w:rsidR="00680764" w:rsidRPr="00C10A21"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39541004" w14:textId="77777777" w:rsidR="00680764" w:rsidRPr="00C10A21"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r w:rsidRPr="00C10A21">
        <w:rPr>
          <w:rFonts w:ascii="gobCL" w:eastAsia="Times New Roman" w:hAnsi="gobCL" w:cs="Arial"/>
          <w:b/>
          <w:color w:val="2F5496" w:themeColor="accent1" w:themeShade="BF"/>
          <w:lang w:val="es-ES_tradnl" w:eastAsia="es-ES"/>
        </w:rPr>
        <w:t xml:space="preserve">i)  vale </w:t>
      </w:r>
      <w:proofErr w:type="gramStart"/>
      <w:r w:rsidRPr="00C10A21">
        <w:rPr>
          <w:rFonts w:ascii="gobCL" w:eastAsia="Times New Roman" w:hAnsi="gobCL" w:cs="Arial"/>
          <w:b/>
          <w:color w:val="2F5496" w:themeColor="accent1" w:themeShade="BF"/>
          <w:lang w:val="es-ES_tradnl" w:eastAsia="es-ES"/>
        </w:rPr>
        <w:t>vista bancario</w:t>
      </w:r>
      <w:proofErr w:type="gramEnd"/>
      <w:r w:rsidRPr="00C10A21">
        <w:rPr>
          <w:rFonts w:ascii="gobCL" w:eastAsia="Times New Roman" w:hAnsi="gobCL" w:cs="Arial"/>
          <w:b/>
          <w:color w:val="2F5496" w:themeColor="accent1" w:themeShade="BF"/>
          <w:lang w:val="es-ES_tradnl" w:eastAsia="es-ES"/>
        </w:rPr>
        <w:t>.</w:t>
      </w:r>
    </w:p>
    <w:p w14:paraId="68F74829" w14:textId="77777777" w:rsidR="00680764" w:rsidRPr="00C10A21"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roofErr w:type="spellStart"/>
      <w:r w:rsidRPr="00C10A21">
        <w:rPr>
          <w:rFonts w:ascii="gobCL" w:eastAsia="Times New Roman" w:hAnsi="gobCL" w:cs="Arial"/>
          <w:b/>
          <w:color w:val="2F5496" w:themeColor="accent1" w:themeShade="BF"/>
          <w:lang w:val="es-ES_tradnl" w:eastAsia="es-ES"/>
        </w:rPr>
        <w:t>ii</w:t>
      </w:r>
      <w:proofErr w:type="spellEnd"/>
      <w:r w:rsidRPr="00C10A21">
        <w:rPr>
          <w:rFonts w:ascii="gobCL" w:eastAsia="Times New Roman" w:hAnsi="gobCL" w:cs="Arial"/>
          <w:b/>
          <w:color w:val="2F5496" w:themeColor="accent1" w:themeShade="BF"/>
          <w:lang w:val="es-ES_tradnl" w:eastAsia="es-ES"/>
        </w:rPr>
        <w:t xml:space="preserve">) boleta bancaria de garantía pagadera a la vista </w:t>
      </w:r>
    </w:p>
    <w:p w14:paraId="71983D82" w14:textId="77777777" w:rsidR="00680764" w:rsidRPr="00C10A21"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roofErr w:type="spellStart"/>
      <w:r w:rsidRPr="00C10A21">
        <w:rPr>
          <w:rFonts w:ascii="gobCL" w:eastAsia="Times New Roman" w:hAnsi="gobCL" w:cs="Arial"/>
          <w:b/>
          <w:color w:val="2F5496" w:themeColor="accent1" w:themeShade="BF"/>
          <w:lang w:val="es-ES_tradnl" w:eastAsia="es-ES"/>
        </w:rPr>
        <w:t>iii</w:t>
      </w:r>
      <w:proofErr w:type="spellEnd"/>
      <w:r w:rsidRPr="00C10A21">
        <w:rPr>
          <w:rFonts w:ascii="gobCL" w:eastAsia="Times New Roman" w:hAnsi="gobCL" w:cs="Arial"/>
          <w:b/>
          <w:color w:val="2F5496" w:themeColor="accent1" w:themeShade="BF"/>
          <w:lang w:val="es-ES_tradnl" w:eastAsia="es-ES"/>
        </w:rPr>
        <w:t>) póliza de seguro con cláusula de ejecución inmediata y sin liquidador, emitidos por un banco o compañía de seguros establecido en Chile</w:t>
      </w:r>
    </w:p>
    <w:p w14:paraId="787CA4A7" w14:textId="77777777" w:rsidR="00680764" w:rsidRPr="00C10A21"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60C58165" w14:textId="77777777" w:rsidR="00680764" w:rsidRDefault="00680764"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r w:rsidRPr="00C10A21">
        <w:rPr>
          <w:rFonts w:ascii="gobCL" w:eastAsia="Times New Roman" w:hAnsi="gobCL" w:cs="Arial"/>
          <w:b/>
          <w:color w:val="2F5496" w:themeColor="accent1" w:themeShade="BF"/>
          <w:lang w:val="es-ES_tradnl" w:eastAsia="es-ES"/>
        </w:rPr>
        <w:t xml:space="preserve">A nombre de la </w:t>
      </w:r>
      <w:r w:rsidRPr="00C10A21">
        <w:rPr>
          <w:rFonts w:ascii="gobCL" w:eastAsia="Times New Roman" w:hAnsi="gobCL" w:cs="Arial"/>
          <w:b/>
          <w:color w:val="2F5496" w:themeColor="accent1" w:themeShade="BF"/>
          <w:u w:val="single"/>
          <w:lang w:val="es-ES_tradnl" w:eastAsia="es-ES"/>
        </w:rPr>
        <w:t>Subsecretaría de Pesca y Acuicultura</w:t>
      </w:r>
      <w:r w:rsidRPr="00C10A21">
        <w:rPr>
          <w:rFonts w:ascii="gobCL" w:eastAsia="Times New Roman" w:hAnsi="gobCL" w:cs="Arial"/>
          <w:b/>
          <w:color w:val="2F5496" w:themeColor="accent1" w:themeShade="BF"/>
          <w:lang w:val="es-ES_tradnl" w:eastAsia="es-ES"/>
        </w:rPr>
        <w:t>, con vigencia de lo menos 2 meses contados desde la fecha de la subasta.</w:t>
      </w:r>
    </w:p>
    <w:p w14:paraId="7BB4656A" w14:textId="77777777" w:rsidR="001E43F9" w:rsidRDefault="001E43F9" w:rsidP="00680764">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7595E8DD" w14:textId="77777777" w:rsidR="001E43F9" w:rsidRDefault="001E43F9" w:rsidP="001E43F9">
      <w:pPr>
        <w:numPr>
          <w:ilvl w:val="0"/>
          <w:numId w:val="4"/>
        </w:num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r w:rsidRPr="00680764">
        <w:rPr>
          <w:rFonts w:ascii="gobCL" w:eastAsia="Times New Roman" w:hAnsi="gobCL" w:cs="Arial"/>
          <w:b/>
          <w:color w:val="2F5496" w:themeColor="accent1" w:themeShade="BF"/>
          <w:lang w:val="es-ES_tradnl" w:eastAsia="es-ES"/>
        </w:rPr>
        <w:t>Copia autorizada de cédula de identidad: Las personas naturales chilenas y extranjeras con residencia definitiva en el país deberán acompañarla</w:t>
      </w:r>
      <w:r w:rsidRPr="00C10A21">
        <w:rPr>
          <w:rFonts w:ascii="gobCL" w:eastAsia="Times New Roman" w:hAnsi="gobCL" w:cs="Arial"/>
          <w:b/>
          <w:color w:val="2F5496" w:themeColor="accent1" w:themeShade="BF"/>
          <w:lang w:val="es-ES_tradnl" w:eastAsia="es-ES"/>
        </w:rPr>
        <w:t>.</w:t>
      </w:r>
    </w:p>
    <w:p w14:paraId="1401DABB" w14:textId="77777777" w:rsidR="00680764" w:rsidRPr="00C10A21" w:rsidRDefault="00680764" w:rsidP="00680764">
      <w:pPr>
        <w:spacing w:line="240" w:lineRule="auto"/>
        <w:ind w:left="720"/>
        <w:contextualSpacing/>
        <w:jc w:val="both"/>
        <w:rPr>
          <w:rFonts w:ascii="gobCL" w:eastAsia="Times New Roman" w:hAnsi="gobCL" w:cs="Arial"/>
          <w:b/>
          <w:color w:val="2F5496" w:themeColor="accent1" w:themeShade="BF"/>
          <w:lang w:val="es-ES_tradnl" w:eastAsia="es-ES"/>
        </w:rPr>
      </w:pPr>
    </w:p>
    <w:p w14:paraId="26310603" w14:textId="77777777" w:rsidR="00680764" w:rsidRPr="00C10A21" w:rsidRDefault="00680764" w:rsidP="00680764">
      <w:pPr>
        <w:numPr>
          <w:ilvl w:val="0"/>
          <w:numId w:val="4"/>
        </w:num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r w:rsidRPr="00C10A21">
        <w:rPr>
          <w:rFonts w:ascii="gobCL" w:eastAsia="Times New Roman" w:hAnsi="gobCL" w:cs="Arial"/>
          <w:b/>
          <w:color w:val="2F5496" w:themeColor="accent1" w:themeShade="BF"/>
          <w:lang w:val="es-ES_tradnl" w:eastAsia="es-ES"/>
        </w:rPr>
        <w:t xml:space="preserve">Declaración jurada ante notario en que quede constancia que la persona natural que participa no tiene relación directa a través de terceras personas con otros participantes de la subasta como filial, matriz, coligada o </w:t>
      </w:r>
      <w:proofErr w:type="spellStart"/>
      <w:r w:rsidRPr="00C10A21">
        <w:rPr>
          <w:rFonts w:ascii="gobCL" w:eastAsia="Times New Roman" w:hAnsi="gobCL" w:cs="Arial"/>
          <w:b/>
          <w:color w:val="2F5496" w:themeColor="accent1" w:themeShade="BF"/>
          <w:lang w:val="es-ES_tradnl" w:eastAsia="es-ES"/>
        </w:rPr>
        <w:t>coligante</w:t>
      </w:r>
      <w:proofErr w:type="spellEnd"/>
      <w:r w:rsidRPr="00C10A21">
        <w:rPr>
          <w:rFonts w:ascii="gobCL" w:eastAsia="Times New Roman" w:hAnsi="gobCL" w:cs="Arial"/>
          <w:b/>
          <w:color w:val="2F5496" w:themeColor="accent1" w:themeShade="BF"/>
          <w:lang w:val="es-ES_tradnl" w:eastAsia="es-ES"/>
        </w:rPr>
        <w:t xml:space="preserve">. </w:t>
      </w:r>
    </w:p>
    <w:p w14:paraId="74D49448" w14:textId="77777777" w:rsidR="00087533" w:rsidRDefault="00087533" w:rsidP="00087533">
      <w:pPr>
        <w:pStyle w:val="Prrafodelista"/>
        <w:rPr>
          <w:rFonts w:ascii="gobCL" w:eastAsia="Times New Roman" w:hAnsi="gobCL" w:cs="Arial"/>
          <w:b/>
          <w:color w:val="2F5496" w:themeColor="accent1" w:themeShade="BF"/>
          <w:lang w:val="es-ES_tradnl" w:eastAsia="es-ES"/>
        </w:rPr>
      </w:pPr>
    </w:p>
    <w:p w14:paraId="6DCFF1EF" w14:textId="77777777" w:rsidR="00087533" w:rsidRPr="00C10A21" w:rsidRDefault="00087533" w:rsidP="00087533">
      <w:pPr>
        <w:numPr>
          <w:ilvl w:val="0"/>
          <w:numId w:val="3"/>
        </w:num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u w:val="single"/>
          <w:lang w:val="es-ES_tradnl" w:eastAsia="es-ES"/>
        </w:rPr>
      </w:pPr>
      <w:r w:rsidRPr="00C10A21">
        <w:rPr>
          <w:rFonts w:ascii="gobCL" w:eastAsia="Times New Roman" w:hAnsi="gobCL" w:cs="Arial"/>
          <w:b/>
          <w:color w:val="2F5496" w:themeColor="accent1" w:themeShade="BF"/>
          <w:u w:val="single"/>
          <w:lang w:val="es-ES_tradnl" w:eastAsia="es-ES"/>
        </w:rPr>
        <w:t>Persona Jurídica:</w:t>
      </w:r>
    </w:p>
    <w:p w14:paraId="5D814C44" w14:textId="77777777" w:rsidR="00087533" w:rsidRPr="00C10A21" w:rsidRDefault="00087533" w:rsidP="00087533">
      <w:pPr>
        <w:overflowPunct w:val="0"/>
        <w:autoSpaceDE w:val="0"/>
        <w:autoSpaceDN w:val="0"/>
        <w:adjustRightInd w:val="0"/>
        <w:spacing w:after="0" w:line="240" w:lineRule="auto"/>
        <w:ind w:firstLine="708"/>
        <w:contextualSpacing/>
        <w:jc w:val="both"/>
        <w:textAlignment w:val="baseline"/>
        <w:rPr>
          <w:rFonts w:ascii="gobCL" w:eastAsia="Times New Roman" w:hAnsi="gobCL" w:cs="Arial"/>
          <w:b/>
          <w:color w:val="2F5496" w:themeColor="accent1" w:themeShade="BF"/>
          <w:lang w:val="es-ES_tradnl" w:eastAsia="es-ES"/>
        </w:rPr>
      </w:pPr>
    </w:p>
    <w:p w14:paraId="409007A5" w14:textId="3D67109E" w:rsidR="00087533" w:rsidRPr="00F247A1" w:rsidRDefault="00087533" w:rsidP="00087533">
      <w:pPr>
        <w:pStyle w:val="Prrafodelista"/>
        <w:widowControl w:val="0"/>
        <w:numPr>
          <w:ilvl w:val="0"/>
          <w:numId w:val="7"/>
        </w:numPr>
        <w:jc w:val="both"/>
        <w:rPr>
          <w:rFonts w:ascii="gobCL" w:eastAsia="Times New Roman" w:hAnsi="gobCL" w:cs="Arial"/>
          <w:b/>
          <w:color w:val="2F5496" w:themeColor="accent1" w:themeShade="BF"/>
          <w:lang w:val="es-ES_tradnl" w:eastAsia="es-ES"/>
        </w:rPr>
      </w:pPr>
      <w:r w:rsidRPr="00F247A1">
        <w:rPr>
          <w:rFonts w:ascii="gobCL" w:eastAsia="Times New Roman" w:hAnsi="gobCL" w:cs="Arial"/>
          <w:b/>
          <w:color w:val="2F5496" w:themeColor="accent1" w:themeShade="BF"/>
          <w:lang w:val="es-ES_tradnl" w:eastAsia="es-ES"/>
        </w:rPr>
        <w:t xml:space="preserve">Existencia legal y personería: Las personas jurídicas constituidas legalmente en Chile, deberán acreditar </w:t>
      </w:r>
      <w:r w:rsidRPr="00F247A1">
        <w:rPr>
          <w:rFonts w:ascii="gobCL" w:eastAsia="Times New Roman" w:hAnsi="gobCL" w:cs="Arial"/>
          <w:b/>
          <w:color w:val="2F5496" w:themeColor="accent1" w:themeShade="BF"/>
          <w:u w:val="single"/>
          <w:lang w:val="es-ES_tradnl" w:eastAsia="es-ES"/>
        </w:rPr>
        <w:t>la existencia legal de la persona jurídica</w:t>
      </w:r>
      <w:r w:rsidRPr="00F247A1">
        <w:rPr>
          <w:rFonts w:ascii="gobCL" w:eastAsia="Times New Roman" w:hAnsi="gobCL" w:cs="Arial"/>
          <w:b/>
          <w:color w:val="2F5496" w:themeColor="accent1" w:themeShade="BF"/>
          <w:lang w:val="es-ES_tradnl" w:eastAsia="es-ES"/>
        </w:rPr>
        <w:t xml:space="preserve"> y </w:t>
      </w:r>
      <w:r w:rsidRPr="00F247A1">
        <w:rPr>
          <w:rFonts w:ascii="gobCL" w:eastAsia="Times New Roman" w:hAnsi="gobCL" w:cs="Arial"/>
          <w:b/>
          <w:color w:val="2F5496" w:themeColor="accent1" w:themeShade="BF"/>
          <w:u w:val="single"/>
          <w:lang w:val="es-ES_tradnl" w:eastAsia="es-ES"/>
        </w:rPr>
        <w:t>la personería de su representante legal</w:t>
      </w:r>
      <w:r w:rsidRPr="00F247A1">
        <w:rPr>
          <w:rFonts w:ascii="gobCL" w:eastAsia="Times New Roman" w:hAnsi="gobCL" w:cs="Arial"/>
          <w:b/>
          <w:color w:val="2F5496" w:themeColor="accent1" w:themeShade="BF"/>
          <w:lang w:val="es-ES_tradnl" w:eastAsia="es-ES"/>
        </w:rPr>
        <w:t>, la cual deberá tener una vigencia no superior a seis meses. (Ello se acredita mediante certificado</w:t>
      </w:r>
      <w:r w:rsidR="00F247A1" w:rsidRPr="00F247A1">
        <w:rPr>
          <w:rFonts w:ascii="gobCL" w:eastAsia="Times New Roman" w:hAnsi="gobCL" w:cs="Arial"/>
          <w:b/>
          <w:color w:val="2F5496" w:themeColor="accent1" w:themeShade="BF"/>
          <w:lang w:val="es-ES_tradnl" w:eastAsia="es-ES"/>
        </w:rPr>
        <w:t xml:space="preserve"> de vigencia y certificado de personería entregados por el Conservador de Comercio respectivo</w:t>
      </w:r>
      <w:r w:rsidR="00DE2066" w:rsidRPr="00DE2066">
        <w:t xml:space="preserve"> </w:t>
      </w:r>
      <w:r w:rsidR="00DE2066" w:rsidRPr="00DE2066">
        <w:rPr>
          <w:rFonts w:ascii="gobCL" w:eastAsia="Times New Roman" w:hAnsi="gobCL" w:cs="Arial"/>
          <w:b/>
          <w:color w:val="2F5496" w:themeColor="accent1" w:themeShade="BF"/>
          <w:lang w:val="es-ES_tradnl" w:eastAsia="es-ES"/>
        </w:rPr>
        <w:t xml:space="preserve">o del </w:t>
      </w:r>
      <w:r w:rsidR="00DE2066" w:rsidRPr="00DE2066">
        <w:rPr>
          <w:rFonts w:ascii="gobCL" w:eastAsia="Times New Roman" w:hAnsi="gobCL" w:cs="Arial"/>
          <w:b/>
          <w:color w:val="2F5496" w:themeColor="accent1" w:themeShade="BF"/>
          <w:lang w:val="es-ES_tradnl" w:eastAsia="es-ES"/>
        </w:rPr>
        <w:t>Registro</w:t>
      </w:r>
      <w:r w:rsidR="00DE2066" w:rsidRPr="00DE2066">
        <w:rPr>
          <w:rFonts w:ascii="gobCL" w:eastAsia="Times New Roman" w:hAnsi="gobCL" w:cs="Arial"/>
          <w:b/>
          <w:color w:val="2F5496" w:themeColor="accent1" w:themeShade="BF"/>
          <w:lang w:val="es-ES_tradnl" w:eastAsia="es-ES"/>
        </w:rPr>
        <w:t xml:space="preserve"> de </w:t>
      </w:r>
      <w:r w:rsidR="00DE2066" w:rsidRPr="00DE2066">
        <w:rPr>
          <w:rFonts w:ascii="gobCL" w:eastAsia="Times New Roman" w:hAnsi="gobCL" w:cs="Arial"/>
          <w:b/>
          <w:color w:val="2F5496" w:themeColor="accent1" w:themeShade="BF"/>
          <w:lang w:val="es-ES_tradnl" w:eastAsia="es-ES"/>
        </w:rPr>
        <w:t>Empresas</w:t>
      </w:r>
      <w:r w:rsidR="00DE2066" w:rsidRPr="00DE2066">
        <w:rPr>
          <w:rFonts w:ascii="gobCL" w:eastAsia="Times New Roman" w:hAnsi="gobCL" w:cs="Arial"/>
          <w:b/>
          <w:color w:val="2F5496" w:themeColor="accent1" w:themeShade="BF"/>
          <w:lang w:val="es-ES_tradnl" w:eastAsia="es-ES"/>
        </w:rPr>
        <w:t xml:space="preserve"> </w:t>
      </w:r>
      <w:r w:rsidR="00DE2066" w:rsidRPr="00DE2066">
        <w:rPr>
          <w:rFonts w:ascii="gobCL" w:eastAsia="Times New Roman" w:hAnsi="gobCL" w:cs="Arial"/>
          <w:b/>
          <w:color w:val="2F5496" w:themeColor="accent1" w:themeShade="BF"/>
          <w:lang w:val="es-ES_tradnl" w:eastAsia="es-ES"/>
        </w:rPr>
        <w:t>y</w:t>
      </w:r>
      <w:r w:rsidR="00DE2066" w:rsidRPr="00DE2066">
        <w:rPr>
          <w:rFonts w:ascii="gobCL" w:eastAsia="Times New Roman" w:hAnsi="gobCL" w:cs="Arial"/>
          <w:b/>
          <w:color w:val="2F5496" w:themeColor="accent1" w:themeShade="BF"/>
          <w:lang w:val="es-ES_tradnl" w:eastAsia="es-ES"/>
        </w:rPr>
        <w:t xml:space="preserve"> </w:t>
      </w:r>
      <w:r w:rsidR="00DE2066" w:rsidRPr="00DE2066">
        <w:rPr>
          <w:rFonts w:ascii="gobCL" w:eastAsia="Times New Roman" w:hAnsi="gobCL" w:cs="Arial"/>
          <w:b/>
          <w:color w:val="2F5496" w:themeColor="accent1" w:themeShade="BF"/>
          <w:lang w:val="es-ES_tradnl" w:eastAsia="es-ES"/>
        </w:rPr>
        <w:t>Sociedades</w:t>
      </w:r>
      <w:r w:rsidR="00DE2066" w:rsidRPr="00DE2066">
        <w:rPr>
          <w:rFonts w:ascii="gobCL" w:eastAsia="Times New Roman" w:hAnsi="gobCL" w:cs="Arial"/>
          <w:b/>
          <w:color w:val="2F5496" w:themeColor="accent1" w:themeShade="BF"/>
          <w:lang w:val="es-ES_tradnl" w:eastAsia="es-ES"/>
        </w:rPr>
        <w:t>, para aquellas personas jurídicas constituidas bajo esta modalidad</w:t>
      </w:r>
      <w:r w:rsidR="00DE2066">
        <w:rPr>
          <w:rFonts w:ascii="gobCL" w:eastAsia="Times New Roman" w:hAnsi="gobCL" w:cs="Arial"/>
          <w:b/>
          <w:color w:val="2F5496" w:themeColor="accent1" w:themeShade="BF"/>
          <w:lang w:val="es-ES_tradnl" w:eastAsia="es-ES"/>
        </w:rPr>
        <w:t>).</w:t>
      </w:r>
    </w:p>
    <w:p w14:paraId="14F17755" w14:textId="77777777" w:rsidR="00087533" w:rsidRPr="00F247A1" w:rsidRDefault="00087533" w:rsidP="00087533">
      <w:pPr>
        <w:pStyle w:val="Prrafodelista"/>
        <w:widowControl w:val="0"/>
        <w:jc w:val="both"/>
        <w:rPr>
          <w:rFonts w:ascii="gobCL" w:eastAsia="Times New Roman" w:hAnsi="gobCL" w:cs="Arial"/>
          <w:b/>
          <w:color w:val="2F5496" w:themeColor="accent1" w:themeShade="BF"/>
          <w:lang w:val="es-ES_tradnl" w:eastAsia="es-ES"/>
        </w:rPr>
      </w:pPr>
    </w:p>
    <w:p w14:paraId="4D35399A" w14:textId="77777777" w:rsidR="00087533" w:rsidRPr="00F247A1" w:rsidRDefault="00087533" w:rsidP="00087533">
      <w:pPr>
        <w:widowControl w:val="0"/>
        <w:spacing w:after="0" w:line="240" w:lineRule="auto"/>
        <w:ind w:left="709"/>
        <w:jc w:val="both"/>
        <w:rPr>
          <w:rFonts w:ascii="gobCL" w:eastAsia="Times New Roman" w:hAnsi="gobCL" w:cs="Arial"/>
          <w:b/>
          <w:color w:val="2F5496" w:themeColor="accent1" w:themeShade="BF"/>
          <w:lang w:val="es-ES_tradnl" w:eastAsia="es-ES"/>
        </w:rPr>
      </w:pPr>
      <w:r w:rsidRPr="00F247A1">
        <w:rPr>
          <w:rFonts w:ascii="gobCL" w:eastAsia="Times New Roman" w:hAnsi="gobCL" w:cs="Arial"/>
          <w:b/>
          <w:color w:val="2F5496" w:themeColor="accent1" w:themeShade="BF"/>
          <w:lang w:val="es-ES_tradnl" w:eastAsia="es-ES"/>
        </w:rPr>
        <w:t xml:space="preserve">Tratándose de aquéllas que tengan o cuenten con participación de capital extranjero, deberán acreditar el hecho de haber sido autorizada esta inversión de forma previa a la subasta. </w:t>
      </w:r>
    </w:p>
    <w:p w14:paraId="3FB1AEC2" w14:textId="77777777" w:rsidR="00087533" w:rsidRDefault="00087533" w:rsidP="00087533">
      <w:pPr>
        <w:widowControl w:val="0"/>
        <w:spacing w:after="0" w:line="240" w:lineRule="auto"/>
        <w:ind w:left="709"/>
        <w:jc w:val="both"/>
        <w:rPr>
          <w:rFonts w:ascii="gobCL" w:eastAsia="Times New Roman" w:hAnsi="gobCL" w:cs="Arial"/>
          <w:snapToGrid w:val="0"/>
          <w:lang w:val="es-ES_tradnl" w:eastAsia="es-ES"/>
        </w:rPr>
      </w:pPr>
    </w:p>
    <w:p w14:paraId="5DD51D76" w14:textId="03A7B8E2" w:rsidR="00087533" w:rsidRPr="00087533" w:rsidRDefault="00087533" w:rsidP="00087533">
      <w:pPr>
        <w:pStyle w:val="Prrafodelista"/>
        <w:widowControl w:val="0"/>
        <w:numPr>
          <w:ilvl w:val="0"/>
          <w:numId w:val="7"/>
        </w:numPr>
        <w:jc w:val="both"/>
        <w:rPr>
          <w:rFonts w:ascii="gobCL" w:eastAsia="Times New Roman" w:hAnsi="gobCL" w:cs="Arial"/>
          <w:snapToGrid w:val="0"/>
          <w:lang w:val="es-ES_tradnl" w:eastAsia="es-ES"/>
        </w:rPr>
      </w:pPr>
      <w:r w:rsidRPr="00087533">
        <w:rPr>
          <w:rFonts w:ascii="gobCL" w:eastAsia="Times New Roman" w:hAnsi="gobCL" w:cs="Arial"/>
          <w:b/>
          <w:color w:val="2F5496" w:themeColor="accent1" w:themeShade="BF"/>
          <w:lang w:val="es-ES_tradnl" w:eastAsia="es-ES"/>
        </w:rPr>
        <w:t>Entregar la o las garantías de seriedad de la oferta.</w:t>
      </w:r>
    </w:p>
    <w:p w14:paraId="53D82171" w14:textId="77777777" w:rsidR="00087533" w:rsidRPr="00C10A21" w:rsidRDefault="00087533" w:rsidP="0008753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2587C345" w14:textId="77777777" w:rsidR="00087533" w:rsidRPr="00C10A21" w:rsidRDefault="00087533" w:rsidP="0008753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r w:rsidRPr="00C10A21">
        <w:rPr>
          <w:rFonts w:ascii="gobCL" w:eastAsia="Times New Roman" w:hAnsi="gobCL" w:cs="Arial"/>
          <w:b/>
          <w:color w:val="2F5496" w:themeColor="accent1" w:themeShade="BF"/>
          <w:lang w:val="es-ES_tradnl" w:eastAsia="es-ES"/>
        </w:rPr>
        <w:t xml:space="preserve">i)  vale </w:t>
      </w:r>
      <w:proofErr w:type="gramStart"/>
      <w:r w:rsidRPr="00C10A21">
        <w:rPr>
          <w:rFonts w:ascii="gobCL" w:eastAsia="Times New Roman" w:hAnsi="gobCL" w:cs="Arial"/>
          <w:b/>
          <w:color w:val="2F5496" w:themeColor="accent1" w:themeShade="BF"/>
          <w:lang w:val="es-ES_tradnl" w:eastAsia="es-ES"/>
        </w:rPr>
        <w:t>vista bancario</w:t>
      </w:r>
      <w:proofErr w:type="gramEnd"/>
    </w:p>
    <w:p w14:paraId="645AF206" w14:textId="77777777" w:rsidR="00087533" w:rsidRPr="00C10A21" w:rsidRDefault="00087533" w:rsidP="0008753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roofErr w:type="spellStart"/>
      <w:r w:rsidRPr="00C10A21">
        <w:rPr>
          <w:rFonts w:ascii="gobCL" w:eastAsia="Times New Roman" w:hAnsi="gobCL" w:cs="Arial"/>
          <w:b/>
          <w:color w:val="2F5496" w:themeColor="accent1" w:themeShade="BF"/>
          <w:lang w:val="es-ES_tradnl" w:eastAsia="es-ES"/>
        </w:rPr>
        <w:t>ii</w:t>
      </w:r>
      <w:proofErr w:type="spellEnd"/>
      <w:r w:rsidRPr="00C10A21">
        <w:rPr>
          <w:rFonts w:ascii="gobCL" w:eastAsia="Times New Roman" w:hAnsi="gobCL" w:cs="Arial"/>
          <w:b/>
          <w:color w:val="2F5496" w:themeColor="accent1" w:themeShade="BF"/>
          <w:lang w:val="es-ES_tradnl" w:eastAsia="es-ES"/>
        </w:rPr>
        <w:t xml:space="preserve">) boleta bancaria de garantía pagadera a la vista </w:t>
      </w:r>
    </w:p>
    <w:p w14:paraId="1003C6B8" w14:textId="77777777" w:rsidR="00087533" w:rsidRPr="00C10A21" w:rsidRDefault="00087533" w:rsidP="0008753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roofErr w:type="spellStart"/>
      <w:r w:rsidRPr="00C10A21">
        <w:rPr>
          <w:rFonts w:ascii="gobCL" w:eastAsia="Times New Roman" w:hAnsi="gobCL" w:cs="Arial"/>
          <w:b/>
          <w:color w:val="2F5496" w:themeColor="accent1" w:themeShade="BF"/>
          <w:lang w:val="es-ES_tradnl" w:eastAsia="es-ES"/>
        </w:rPr>
        <w:t>iii</w:t>
      </w:r>
      <w:proofErr w:type="spellEnd"/>
      <w:r w:rsidRPr="00C10A21">
        <w:rPr>
          <w:rFonts w:ascii="gobCL" w:eastAsia="Times New Roman" w:hAnsi="gobCL" w:cs="Arial"/>
          <w:b/>
          <w:color w:val="2F5496" w:themeColor="accent1" w:themeShade="BF"/>
          <w:lang w:val="es-ES_tradnl" w:eastAsia="es-ES"/>
        </w:rPr>
        <w:t>) póliza de seguro con cláusula de ejecución inmediata y sin liquidador, emitidos por un banco o compañía de seguros establecido en Chile</w:t>
      </w:r>
    </w:p>
    <w:p w14:paraId="7BEB41F4" w14:textId="77777777" w:rsidR="00087533" w:rsidRPr="00C10A21" w:rsidRDefault="00087533" w:rsidP="00087533">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60AF5D70" w14:textId="77777777" w:rsidR="00F247A1" w:rsidRDefault="00087533" w:rsidP="00F247A1">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r w:rsidRPr="00C10A21">
        <w:rPr>
          <w:rFonts w:ascii="gobCL" w:eastAsia="Times New Roman" w:hAnsi="gobCL" w:cs="Arial"/>
          <w:b/>
          <w:color w:val="2F5496" w:themeColor="accent1" w:themeShade="BF"/>
          <w:lang w:val="es-ES_tradnl" w:eastAsia="es-ES"/>
        </w:rPr>
        <w:t xml:space="preserve">A nombre de la </w:t>
      </w:r>
      <w:r w:rsidRPr="00C10A21">
        <w:rPr>
          <w:rFonts w:ascii="gobCL" w:eastAsia="Times New Roman" w:hAnsi="gobCL" w:cs="Arial"/>
          <w:b/>
          <w:color w:val="2F5496" w:themeColor="accent1" w:themeShade="BF"/>
          <w:u w:val="single"/>
          <w:lang w:val="es-ES_tradnl" w:eastAsia="es-ES"/>
        </w:rPr>
        <w:t>Subsecretaría de Pesca y Acuicultura</w:t>
      </w:r>
      <w:r w:rsidRPr="00C10A21">
        <w:rPr>
          <w:rFonts w:ascii="gobCL" w:eastAsia="Times New Roman" w:hAnsi="gobCL" w:cs="Arial"/>
          <w:b/>
          <w:color w:val="2F5496" w:themeColor="accent1" w:themeShade="BF"/>
          <w:lang w:val="es-ES_tradnl" w:eastAsia="es-ES"/>
        </w:rPr>
        <w:t>, con vigencia de lo menos 2 meses contados desde la fecha de la subasta.</w:t>
      </w:r>
    </w:p>
    <w:p w14:paraId="7D96E9AB" w14:textId="77777777" w:rsidR="00DE2066" w:rsidRDefault="00DE2066" w:rsidP="00F247A1">
      <w:pPr>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p>
    <w:p w14:paraId="13C4C9F7" w14:textId="77777777" w:rsidR="00F247A1" w:rsidRDefault="00087533" w:rsidP="00F247A1">
      <w:pPr>
        <w:pStyle w:val="Prrafodelista"/>
        <w:numPr>
          <w:ilvl w:val="0"/>
          <w:numId w:val="7"/>
        </w:numPr>
        <w:overflowPunct w:val="0"/>
        <w:autoSpaceDE w:val="0"/>
        <w:autoSpaceDN w:val="0"/>
        <w:adjustRightInd w:val="0"/>
        <w:contextualSpacing/>
        <w:jc w:val="both"/>
        <w:textAlignment w:val="baseline"/>
        <w:rPr>
          <w:rFonts w:ascii="gobCL" w:eastAsia="Times New Roman" w:hAnsi="gobCL" w:cs="Arial"/>
          <w:b/>
          <w:color w:val="2F5496" w:themeColor="accent1" w:themeShade="BF"/>
          <w:lang w:val="es-ES_tradnl" w:eastAsia="es-ES"/>
        </w:rPr>
      </w:pPr>
      <w:r w:rsidRPr="00F247A1">
        <w:rPr>
          <w:rFonts w:ascii="gobCL" w:eastAsia="Times New Roman" w:hAnsi="gobCL" w:cs="Arial"/>
          <w:b/>
          <w:color w:val="2F5496" w:themeColor="accent1" w:themeShade="BF"/>
          <w:lang w:val="es-ES_tradnl" w:eastAsia="es-ES"/>
        </w:rPr>
        <w:t xml:space="preserve">Declaración jurada ante notario en que quede constancia que la persona jurídica que participa no tiene relación directa a través de terceras personas con otros participantes de la subasta como filial, matriz, coligada o </w:t>
      </w:r>
      <w:proofErr w:type="spellStart"/>
      <w:r w:rsidRPr="00F247A1">
        <w:rPr>
          <w:rFonts w:ascii="gobCL" w:eastAsia="Times New Roman" w:hAnsi="gobCL" w:cs="Arial"/>
          <w:b/>
          <w:color w:val="2F5496" w:themeColor="accent1" w:themeShade="BF"/>
          <w:lang w:val="es-ES_tradnl" w:eastAsia="es-ES"/>
        </w:rPr>
        <w:t>coligante</w:t>
      </w:r>
      <w:proofErr w:type="spellEnd"/>
      <w:r w:rsidRPr="00F247A1">
        <w:rPr>
          <w:rFonts w:ascii="gobCL" w:eastAsia="Times New Roman" w:hAnsi="gobCL" w:cs="Arial"/>
          <w:b/>
          <w:color w:val="2F5496" w:themeColor="accent1" w:themeShade="BF"/>
          <w:lang w:val="es-ES_tradnl" w:eastAsia="es-ES"/>
        </w:rPr>
        <w:t xml:space="preserve">. </w:t>
      </w:r>
    </w:p>
    <w:p w14:paraId="260662F5" w14:textId="77777777" w:rsidR="00F247A1" w:rsidRDefault="00F247A1" w:rsidP="00F247A1">
      <w:pPr>
        <w:pStyle w:val="Prrafodelista"/>
        <w:overflowPunct w:val="0"/>
        <w:autoSpaceDE w:val="0"/>
        <w:autoSpaceDN w:val="0"/>
        <w:adjustRightInd w:val="0"/>
        <w:contextualSpacing/>
        <w:jc w:val="both"/>
        <w:textAlignment w:val="baseline"/>
        <w:rPr>
          <w:rFonts w:ascii="gobCL" w:eastAsia="Times New Roman" w:hAnsi="gobCL" w:cs="Arial"/>
          <w:b/>
          <w:color w:val="2F5496" w:themeColor="accent1" w:themeShade="BF"/>
          <w:lang w:val="es-ES_tradnl" w:eastAsia="es-ES"/>
        </w:rPr>
      </w:pPr>
    </w:p>
    <w:p w14:paraId="3FC4B485" w14:textId="631C9183" w:rsidR="00680764" w:rsidRPr="00DE2066" w:rsidRDefault="00F247A1" w:rsidP="00DE2066">
      <w:pPr>
        <w:overflowPunct w:val="0"/>
        <w:autoSpaceDE w:val="0"/>
        <w:autoSpaceDN w:val="0"/>
        <w:adjustRightInd w:val="0"/>
        <w:contextualSpacing/>
        <w:jc w:val="both"/>
        <w:textAlignment w:val="baseline"/>
        <w:rPr>
          <w:rFonts w:ascii="gobCL" w:eastAsia="Times New Roman" w:hAnsi="gobCL" w:cs="Arial"/>
          <w:b/>
          <w:color w:val="2F5496" w:themeColor="accent1" w:themeShade="BF"/>
          <w:lang w:val="es-ES_tradnl" w:eastAsia="es-ES"/>
        </w:rPr>
      </w:pPr>
      <w:r w:rsidRPr="00DE2066">
        <w:rPr>
          <w:rFonts w:ascii="gobCL" w:eastAsia="Times New Roman" w:hAnsi="gobCL" w:cs="Arial"/>
          <w:b/>
          <w:color w:val="2F5496" w:themeColor="accent1" w:themeShade="BF"/>
          <w:lang w:val="es-ES_tradnl" w:eastAsia="es-ES"/>
        </w:rPr>
        <w:t xml:space="preserve">En caso de tener </w:t>
      </w:r>
      <w:r w:rsidR="00680764" w:rsidRPr="00DE2066">
        <w:rPr>
          <w:rFonts w:ascii="gobCL" w:eastAsia="Times New Roman" w:hAnsi="gobCL" w:cs="Arial"/>
          <w:b/>
          <w:color w:val="2F5496" w:themeColor="accent1" w:themeShade="BF"/>
          <w:lang w:val="es-ES_tradnl" w:eastAsia="es-ES"/>
        </w:rPr>
        <w:t xml:space="preserve">Inscripción en Registro:  Las personas naturales o jurídicas que se encuentren inscritas en el Registro Artesanal, Registro Nacional Pesquero Industrial o en el Registro de plantas de transformación a que aluden el artículo 2° </w:t>
      </w:r>
      <w:proofErr w:type="spellStart"/>
      <w:r w:rsidR="00680764" w:rsidRPr="00DE2066">
        <w:rPr>
          <w:rFonts w:ascii="gobCL" w:eastAsia="Times New Roman" w:hAnsi="gobCL" w:cs="Arial"/>
          <w:b/>
          <w:color w:val="2F5496" w:themeColor="accent1" w:themeShade="BF"/>
          <w:lang w:val="es-ES_tradnl" w:eastAsia="es-ES"/>
        </w:rPr>
        <w:t>N°</w:t>
      </w:r>
      <w:proofErr w:type="spellEnd"/>
      <w:r w:rsidR="00680764" w:rsidRPr="00DE2066">
        <w:rPr>
          <w:rFonts w:ascii="gobCL" w:eastAsia="Times New Roman" w:hAnsi="gobCL" w:cs="Arial"/>
          <w:b/>
          <w:color w:val="2F5496" w:themeColor="accent1" w:themeShade="BF"/>
          <w:lang w:val="es-ES_tradnl" w:eastAsia="es-ES"/>
        </w:rPr>
        <w:t xml:space="preserve"> 2, </w:t>
      </w:r>
      <w:proofErr w:type="spellStart"/>
      <w:r w:rsidR="00680764" w:rsidRPr="00DE2066">
        <w:rPr>
          <w:rFonts w:ascii="gobCL" w:eastAsia="Times New Roman" w:hAnsi="gobCL" w:cs="Arial"/>
          <w:b/>
          <w:color w:val="2F5496" w:themeColor="accent1" w:themeShade="BF"/>
          <w:lang w:val="es-ES_tradnl" w:eastAsia="es-ES"/>
        </w:rPr>
        <w:t>N°</w:t>
      </w:r>
      <w:proofErr w:type="spellEnd"/>
      <w:r w:rsidR="00680764" w:rsidRPr="00DE2066">
        <w:rPr>
          <w:rFonts w:ascii="gobCL" w:eastAsia="Times New Roman" w:hAnsi="gobCL" w:cs="Arial"/>
          <w:b/>
          <w:color w:val="2F5496" w:themeColor="accent1" w:themeShade="BF"/>
          <w:lang w:val="es-ES_tradnl" w:eastAsia="es-ES"/>
        </w:rPr>
        <w:t xml:space="preserve"> 39 y </w:t>
      </w:r>
      <w:proofErr w:type="spellStart"/>
      <w:r w:rsidR="00680764" w:rsidRPr="00DE2066">
        <w:rPr>
          <w:rFonts w:ascii="gobCL" w:eastAsia="Times New Roman" w:hAnsi="gobCL" w:cs="Arial"/>
          <w:b/>
          <w:color w:val="2F5496" w:themeColor="accent1" w:themeShade="BF"/>
          <w:lang w:val="es-ES_tradnl" w:eastAsia="es-ES"/>
        </w:rPr>
        <w:t>N°</w:t>
      </w:r>
      <w:proofErr w:type="spellEnd"/>
      <w:r w:rsidR="00680764" w:rsidRPr="00DE2066">
        <w:rPr>
          <w:rFonts w:ascii="gobCL" w:eastAsia="Times New Roman" w:hAnsi="gobCL" w:cs="Arial"/>
          <w:b/>
          <w:color w:val="2F5496" w:themeColor="accent1" w:themeShade="BF"/>
          <w:lang w:val="es-ES_tradnl" w:eastAsia="es-ES"/>
        </w:rPr>
        <w:t xml:space="preserve"> 40 de la Ley de Pesca, se entenderá acreditado el cumplimiento de los antecedentes señalados en los números anteriores, en la medida que acompañen certificados de inscripción en los referidos Registros con </w:t>
      </w:r>
      <w:r w:rsidR="00680764" w:rsidRPr="00DE2066">
        <w:rPr>
          <w:rFonts w:ascii="gobCL" w:eastAsia="Times New Roman" w:hAnsi="gobCL" w:cs="Arial"/>
          <w:b/>
          <w:color w:val="2F5496" w:themeColor="accent1" w:themeShade="BF"/>
          <w:u w:val="single"/>
          <w:lang w:val="es-ES_tradnl" w:eastAsia="es-ES"/>
        </w:rPr>
        <w:t>una antigüedad no superior a un mes contado desde la fecha de la subasta</w:t>
      </w:r>
      <w:r w:rsidR="00680764" w:rsidRPr="00DE2066">
        <w:rPr>
          <w:rFonts w:ascii="gobCL" w:eastAsia="Times New Roman" w:hAnsi="gobCL" w:cs="Arial"/>
          <w:b/>
          <w:color w:val="2F5496" w:themeColor="accent1" w:themeShade="BF"/>
          <w:lang w:val="es-ES_tradnl" w:eastAsia="es-ES"/>
        </w:rPr>
        <w:t xml:space="preserve">. </w:t>
      </w:r>
    </w:p>
    <w:p w14:paraId="44C0E6EF" w14:textId="77777777" w:rsidR="003D58F3" w:rsidRDefault="003D58F3" w:rsidP="003D58F3">
      <w:pPr>
        <w:overflowPunct w:val="0"/>
        <w:autoSpaceDE w:val="0"/>
        <w:autoSpaceDN w:val="0"/>
        <w:adjustRightInd w:val="0"/>
        <w:spacing w:after="0" w:line="240" w:lineRule="auto"/>
        <w:contextualSpacing/>
        <w:jc w:val="both"/>
        <w:textAlignment w:val="baseline"/>
        <w:rPr>
          <w:rFonts w:ascii="gobCL" w:eastAsia="Calibri" w:hAnsi="gobCL" w:cs="Times New Roman"/>
          <w:lang w:val="es-ES_tradnl"/>
        </w:rPr>
      </w:pPr>
    </w:p>
    <w:p w14:paraId="1FC97222" w14:textId="3C05C770" w:rsidR="003D58F3" w:rsidRPr="003D58F3" w:rsidRDefault="003D58F3" w:rsidP="003D58F3">
      <w:p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r w:rsidRPr="003D58F3">
        <w:rPr>
          <w:rFonts w:ascii="gobCL" w:eastAsia="Times New Roman" w:hAnsi="gobCL" w:cs="Arial"/>
          <w:b/>
          <w:color w:val="2F5496" w:themeColor="accent1" w:themeShade="BF"/>
          <w:lang w:val="es-ES_tradnl" w:eastAsia="es-ES"/>
        </w:rPr>
        <w:t>Para efectos de eventuales devoluciones de sobres, por extemporaneidad en su entrega o no cumplimiento de alguno de los requisitos exigidos en estas bases, y de garantías de seriedad de la oferta, según corresponda, el remitente deberá indicar en el sobre 1° “Antecedentes Administrativos”, nombre, R.U.T., dirección, número telefónico de contacto y correo electrónico, del oferente y de su representante, si corresponde.</w:t>
      </w:r>
    </w:p>
    <w:p w14:paraId="0801FF39" w14:textId="77777777" w:rsidR="003D58F3" w:rsidRDefault="003D58F3" w:rsidP="003D58F3">
      <w:p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p>
    <w:p w14:paraId="1B79BFE7" w14:textId="77777777" w:rsidR="006D0A6E" w:rsidRPr="003D58F3" w:rsidRDefault="006D0A6E" w:rsidP="003D58F3">
      <w:pPr>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p>
    <w:p w14:paraId="00CA101F" w14:textId="5F1DC5CE" w:rsidR="003D58F3" w:rsidRPr="003D58F3" w:rsidRDefault="003D58F3" w:rsidP="003D58F3">
      <w:pPr>
        <w:widowControl w:val="0"/>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bookmarkStart w:id="0" w:name="_Hlk150962120"/>
      <w:r w:rsidRPr="003D58F3">
        <w:rPr>
          <w:rFonts w:ascii="gobCL" w:eastAsia="Times New Roman" w:hAnsi="gobCL" w:cs="Arial"/>
          <w:b/>
          <w:color w:val="2F5496" w:themeColor="accent1" w:themeShade="BF"/>
          <w:lang w:val="es-ES_tradnl" w:eastAsia="es-ES"/>
        </w:rPr>
        <w:t>En el acto de apertura de sobres 2 “Propuestas Económicas” y “Desempates”, p</w:t>
      </w:r>
      <w:r w:rsidRPr="003D58F3">
        <w:rPr>
          <w:rFonts w:ascii="gobCL" w:eastAsia="Times New Roman" w:hAnsi="gobCL" w:cs="Arial"/>
          <w:b/>
          <w:color w:val="2F5496" w:themeColor="accent1" w:themeShade="BF"/>
          <w:lang w:val="es-ES_tradnl" w:eastAsia="es-ES"/>
        </w:rPr>
        <w:t xml:space="preserve">odrán participar hasta dos representantes por oferente, quienes podrán asistir presencialmente o conectarse mediante una plataforma de </w:t>
      </w:r>
      <w:proofErr w:type="spellStart"/>
      <w:r w:rsidRPr="003D58F3">
        <w:rPr>
          <w:rFonts w:ascii="gobCL" w:eastAsia="Times New Roman" w:hAnsi="gobCL" w:cs="Arial"/>
          <w:b/>
          <w:color w:val="2F5496" w:themeColor="accent1" w:themeShade="BF"/>
          <w:lang w:val="es-ES_tradnl" w:eastAsia="es-ES"/>
        </w:rPr>
        <w:t>streaming</w:t>
      </w:r>
      <w:proofErr w:type="spellEnd"/>
      <w:r w:rsidRPr="003D58F3">
        <w:rPr>
          <w:rFonts w:ascii="gobCL" w:eastAsia="Times New Roman" w:hAnsi="gobCL" w:cs="Arial"/>
          <w:b/>
          <w:color w:val="2F5496" w:themeColor="accent1" w:themeShade="BF"/>
          <w:lang w:val="es-ES_tradnl" w:eastAsia="es-ES"/>
        </w:rPr>
        <w:t xml:space="preserve"> que se informará oportunamente mediante correo electrónico. En ambos casos, en el día de la subasta se exigirá la exhibición de la cédula de identidad de los representantes.</w:t>
      </w:r>
    </w:p>
    <w:p w14:paraId="62D92DC1" w14:textId="77777777" w:rsidR="003D58F3" w:rsidRPr="003D58F3" w:rsidRDefault="003D58F3" w:rsidP="003D58F3">
      <w:pPr>
        <w:widowControl w:val="0"/>
        <w:overflowPunct w:val="0"/>
        <w:autoSpaceDE w:val="0"/>
        <w:autoSpaceDN w:val="0"/>
        <w:adjustRightInd w:val="0"/>
        <w:spacing w:after="0" w:line="240" w:lineRule="auto"/>
        <w:ind w:left="720"/>
        <w:contextualSpacing/>
        <w:jc w:val="both"/>
        <w:textAlignment w:val="baseline"/>
        <w:rPr>
          <w:rFonts w:ascii="gobCL" w:eastAsia="Times New Roman" w:hAnsi="gobCL" w:cs="Arial"/>
          <w:b/>
          <w:color w:val="2F5496" w:themeColor="accent1" w:themeShade="BF"/>
          <w:lang w:val="es-ES_tradnl" w:eastAsia="es-ES"/>
        </w:rPr>
      </w:pPr>
      <w:r w:rsidRPr="003D58F3">
        <w:rPr>
          <w:rFonts w:ascii="gobCL" w:eastAsia="Times New Roman" w:hAnsi="gobCL" w:cs="Arial"/>
          <w:b/>
          <w:color w:val="2F5496" w:themeColor="accent1" w:themeShade="BF"/>
          <w:lang w:val="es-ES_tradnl" w:eastAsia="es-ES"/>
        </w:rPr>
        <w:tab/>
      </w:r>
    </w:p>
    <w:p w14:paraId="40BD43AB" w14:textId="77777777" w:rsidR="003D58F3" w:rsidRPr="003D58F3" w:rsidRDefault="003D58F3" w:rsidP="003D58F3">
      <w:pPr>
        <w:widowControl w:val="0"/>
        <w:overflowPunct w:val="0"/>
        <w:autoSpaceDE w:val="0"/>
        <w:autoSpaceDN w:val="0"/>
        <w:adjustRightInd w:val="0"/>
        <w:spacing w:after="0" w:line="240" w:lineRule="auto"/>
        <w:contextualSpacing/>
        <w:jc w:val="both"/>
        <w:textAlignment w:val="baseline"/>
        <w:rPr>
          <w:rFonts w:ascii="gobCL" w:eastAsia="Times New Roman" w:hAnsi="gobCL" w:cs="Arial"/>
          <w:b/>
          <w:color w:val="2F5496" w:themeColor="accent1" w:themeShade="BF"/>
          <w:lang w:val="es-ES_tradnl" w:eastAsia="es-ES"/>
        </w:rPr>
      </w:pPr>
      <w:r w:rsidRPr="003D58F3">
        <w:rPr>
          <w:rFonts w:ascii="gobCL" w:eastAsia="Times New Roman" w:hAnsi="gobCL" w:cs="Arial"/>
          <w:b/>
          <w:color w:val="2F5496" w:themeColor="accent1" w:themeShade="BF"/>
          <w:lang w:val="es-ES_tradnl" w:eastAsia="es-ES"/>
        </w:rPr>
        <w:t xml:space="preserve">En caso de elegir la vía </w:t>
      </w:r>
      <w:proofErr w:type="spellStart"/>
      <w:r w:rsidRPr="003D58F3">
        <w:rPr>
          <w:rFonts w:ascii="gobCL" w:eastAsia="Times New Roman" w:hAnsi="gobCL" w:cs="Arial"/>
          <w:b/>
          <w:color w:val="2F5496" w:themeColor="accent1" w:themeShade="BF"/>
          <w:lang w:val="es-ES_tradnl" w:eastAsia="es-ES"/>
        </w:rPr>
        <w:t>streaming</w:t>
      </w:r>
      <w:proofErr w:type="spellEnd"/>
      <w:r w:rsidRPr="003D58F3">
        <w:rPr>
          <w:rFonts w:ascii="gobCL" w:eastAsia="Times New Roman" w:hAnsi="gobCL" w:cs="Arial"/>
          <w:b/>
          <w:color w:val="2F5496" w:themeColor="accent1" w:themeShade="BF"/>
          <w:lang w:val="es-ES_tradnl" w:eastAsia="es-ES"/>
        </w:rPr>
        <w:t>, se deberá indicar expresamente dicha opción en el sobre 1 “ANTECEDENTES ADMINISTRATIVOS”, señalando un correo electrónico al efecto. Esta opción podrá ejercerse separadamente por cada uno de los 2 representantes de cada oferente.</w:t>
      </w:r>
    </w:p>
    <w:bookmarkEnd w:id="0"/>
    <w:p w14:paraId="1C2CE140" w14:textId="77777777" w:rsidR="003D58F3" w:rsidRPr="003D58F3" w:rsidRDefault="003D58F3" w:rsidP="003D58F3">
      <w:pPr>
        <w:overflowPunct w:val="0"/>
        <w:autoSpaceDE w:val="0"/>
        <w:autoSpaceDN w:val="0"/>
        <w:adjustRightInd w:val="0"/>
        <w:spacing w:after="0" w:line="240" w:lineRule="auto"/>
        <w:contextualSpacing/>
        <w:jc w:val="both"/>
        <w:textAlignment w:val="baseline"/>
        <w:rPr>
          <w:rFonts w:ascii="gobCL" w:eastAsia="Times New Roman" w:hAnsi="gobCL" w:cs="Arial"/>
          <w:lang w:val="es-ES_tradnl" w:eastAsia="es-ES"/>
        </w:rPr>
      </w:pPr>
    </w:p>
    <w:p w14:paraId="784E16F3" w14:textId="77777777" w:rsidR="00680764" w:rsidRPr="00680764" w:rsidRDefault="00680764" w:rsidP="00680764">
      <w:pPr>
        <w:widowControl w:val="0"/>
        <w:spacing w:after="0" w:line="240" w:lineRule="auto"/>
        <w:ind w:left="709"/>
        <w:jc w:val="both"/>
        <w:rPr>
          <w:rFonts w:ascii="gobCL" w:eastAsia="Times New Roman" w:hAnsi="gobCL" w:cs="Arial"/>
          <w:snapToGrid w:val="0"/>
          <w:lang w:val="es-ES_tradnl" w:eastAsia="es-ES"/>
        </w:rPr>
      </w:pPr>
    </w:p>
    <w:sectPr w:rsidR="00680764" w:rsidRPr="00680764"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69E2" w14:textId="77777777" w:rsidR="00D20F14" w:rsidRDefault="00D20F14" w:rsidP="00D20F14">
      <w:pPr>
        <w:spacing w:after="0" w:line="240" w:lineRule="auto"/>
      </w:pPr>
      <w:r>
        <w:separator/>
      </w:r>
    </w:p>
  </w:endnote>
  <w:endnote w:type="continuationSeparator" w:id="0">
    <w:p w14:paraId="69C8861A" w14:textId="77777777" w:rsidR="00D20F14" w:rsidRDefault="00D20F14"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A3A5" w14:textId="77777777" w:rsidR="00D20F14" w:rsidRDefault="00D20F14" w:rsidP="00D20F14">
      <w:pPr>
        <w:spacing w:after="0" w:line="240" w:lineRule="auto"/>
      </w:pPr>
      <w:r>
        <w:separator/>
      </w:r>
    </w:p>
  </w:footnote>
  <w:footnote w:type="continuationSeparator" w:id="0">
    <w:p w14:paraId="0E89021E" w14:textId="77777777" w:rsidR="00D20F14" w:rsidRDefault="00D20F14"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48806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6"/>
  </w:num>
  <w:num w:numId="4" w16cid:durableId="846208855">
    <w:abstractNumId w:val="2"/>
  </w:num>
  <w:num w:numId="5" w16cid:durableId="1729187302">
    <w:abstractNumId w:val="4"/>
  </w:num>
  <w:num w:numId="6" w16cid:durableId="708065530">
    <w:abstractNumId w:val="0"/>
  </w:num>
  <w:num w:numId="7" w16cid:durableId="1924603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54426"/>
    <w:rsid w:val="00087533"/>
    <w:rsid w:val="00127711"/>
    <w:rsid w:val="00152B21"/>
    <w:rsid w:val="001E43F9"/>
    <w:rsid w:val="002028AA"/>
    <w:rsid w:val="003D58F3"/>
    <w:rsid w:val="00650AD5"/>
    <w:rsid w:val="00680764"/>
    <w:rsid w:val="006D0A6E"/>
    <w:rsid w:val="008C65A4"/>
    <w:rsid w:val="00907737"/>
    <w:rsid w:val="00972265"/>
    <w:rsid w:val="0097691E"/>
    <w:rsid w:val="009C2A45"/>
    <w:rsid w:val="00C10A21"/>
    <w:rsid w:val="00D039CF"/>
    <w:rsid w:val="00D050F6"/>
    <w:rsid w:val="00D20F14"/>
    <w:rsid w:val="00DE2066"/>
    <w:rsid w:val="00F247A1"/>
    <w:rsid w:val="00F774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Francisco Ortiz</cp:lastModifiedBy>
  <cp:revision>8</cp:revision>
  <cp:lastPrinted>2023-11-29T19:10:00Z</cp:lastPrinted>
  <dcterms:created xsi:type="dcterms:W3CDTF">2023-11-29T18:16:00Z</dcterms:created>
  <dcterms:modified xsi:type="dcterms:W3CDTF">2023-11-29T19:18:00Z</dcterms:modified>
</cp:coreProperties>
</file>