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6E87" w14:textId="77777777" w:rsidR="00907737" w:rsidRDefault="00907737" w:rsidP="00DE2066">
      <w:pPr>
        <w:pStyle w:val="Prrafodelista"/>
        <w:jc w:val="center"/>
        <w:rPr>
          <w:rFonts w:ascii="gobCL" w:hAnsi="gobCL"/>
          <w:b/>
          <w:u w:val="single"/>
        </w:rPr>
      </w:pPr>
      <w:r>
        <w:rPr>
          <w:rFonts w:ascii="gobCL" w:hAnsi="gobCL"/>
          <w:b/>
          <w:u w:val="single"/>
        </w:rPr>
        <w:t>ACLARACIONES A BASES ADMINISTRATIVAS SUBASTA PERMISOS EXTRAORDINARIOS DE PESCA</w:t>
      </w:r>
    </w:p>
    <w:p w14:paraId="479505F0" w14:textId="77777777" w:rsidR="00907737" w:rsidRDefault="00907737" w:rsidP="00DE2066">
      <w:pPr>
        <w:pStyle w:val="Prrafodelista"/>
        <w:jc w:val="center"/>
        <w:rPr>
          <w:rFonts w:ascii="gobCL" w:hAnsi="gobCL"/>
          <w:b/>
        </w:rPr>
      </w:pPr>
    </w:p>
    <w:p w14:paraId="3B119A4F" w14:textId="055235B6" w:rsidR="00907737" w:rsidRDefault="00907737" w:rsidP="00907737">
      <w:pPr>
        <w:jc w:val="both"/>
        <w:rPr>
          <w:rFonts w:ascii="gobCL" w:hAnsi="gobCL"/>
        </w:rPr>
      </w:pPr>
      <w:r>
        <w:rPr>
          <w:rFonts w:ascii="gobCL" w:hAnsi="gobCL"/>
          <w:b/>
        </w:rPr>
        <w:t xml:space="preserve">Aclaraciones a las bases dirigidas al correo electrónico </w:t>
      </w:r>
      <w:hyperlink r:id="rId8" w:history="1">
        <w:r>
          <w:rPr>
            <w:rStyle w:val="Hipervnculo"/>
            <w:rFonts w:ascii="gobCL" w:hAnsi="gobCL"/>
            <w:b/>
          </w:rPr>
          <w:t>subastapublica@subpesca.cl</w:t>
        </w:r>
      </w:hyperlink>
      <w:r>
        <w:rPr>
          <w:rFonts w:ascii="gobCL" w:hAnsi="gobCL"/>
          <w:b/>
        </w:rPr>
        <w:t xml:space="preserve"> a la fecha de </w:t>
      </w:r>
      <w:r w:rsidR="00084F70">
        <w:rPr>
          <w:rFonts w:ascii="gobCL" w:hAnsi="gobCL"/>
          <w:b/>
        </w:rPr>
        <w:t>11</w:t>
      </w:r>
      <w:r>
        <w:rPr>
          <w:rFonts w:ascii="gobCL" w:hAnsi="gobCL"/>
          <w:b/>
        </w:rPr>
        <w:t xml:space="preserve"> </w:t>
      </w:r>
      <w:r w:rsidR="00084F70">
        <w:rPr>
          <w:rFonts w:ascii="gobCL" w:hAnsi="gobCL"/>
          <w:b/>
        </w:rPr>
        <w:t>enero</w:t>
      </w:r>
      <w:r>
        <w:rPr>
          <w:rFonts w:ascii="gobCL" w:hAnsi="gobCL"/>
          <w:b/>
        </w:rPr>
        <w:t xml:space="preserve"> de 20</w:t>
      </w:r>
      <w:r w:rsidR="00084F70">
        <w:rPr>
          <w:rFonts w:ascii="gobCL" w:hAnsi="gobCL"/>
          <w:b/>
        </w:rPr>
        <w:t>24</w:t>
      </w:r>
      <w:r>
        <w:rPr>
          <w:rFonts w:ascii="gobCL" w:hAnsi="gobCL"/>
          <w:b/>
        </w:rPr>
        <w:t>, según el orden de llegada y dentro del plazo de 3 días hábiles.</w:t>
      </w:r>
    </w:p>
    <w:p w14:paraId="410B87FB" w14:textId="6DDD70F9" w:rsidR="00084F70" w:rsidRPr="00084F70" w:rsidRDefault="00084F70" w:rsidP="00084F70">
      <w:pPr>
        <w:spacing w:line="240" w:lineRule="auto"/>
        <w:jc w:val="both"/>
        <w:rPr>
          <w:rFonts w:ascii="gobCL" w:hAnsi="gobCL"/>
        </w:rPr>
      </w:pPr>
      <w:r w:rsidRPr="00084F70">
        <w:rPr>
          <w:rFonts w:ascii="gobCL" w:hAnsi="gobCL" w:cs="Times New Roman"/>
          <w:color w:val="000000"/>
          <w:lang w:eastAsia="es-CL"/>
        </w:rPr>
        <w:t>1</w:t>
      </w:r>
      <w:r w:rsidR="00CE3B35" w:rsidRPr="00084F70">
        <w:rPr>
          <w:rFonts w:ascii="gobCL" w:hAnsi="gobCL" w:cs="Times New Roman"/>
          <w:color w:val="000000"/>
          <w:lang w:eastAsia="es-CL"/>
        </w:rPr>
        <w:t>.</w:t>
      </w:r>
      <w:r w:rsidR="00CE3B35" w:rsidRPr="00084F70">
        <w:rPr>
          <w:rFonts w:ascii="gobCL" w:eastAsia="Calibri" w:hAnsi="gobCL" w:cs="Calibri"/>
          <w:lang w:eastAsia="es-CL"/>
        </w:rPr>
        <w:t xml:space="preserve"> </w:t>
      </w:r>
      <w:r w:rsidRPr="00084F70">
        <w:rPr>
          <w:rFonts w:ascii="gobCL" w:hAnsi="gobCL"/>
        </w:rPr>
        <w:t xml:space="preserve">Estimados Srs Subsecretaría de Pesca y </w:t>
      </w:r>
      <w:r>
        <w:rPr>
          <w:rFonts w:ascii="gobCL" w:hAnsi="gobCL"/>
        </w:rPr>
        <w:t>A</w:t>
      </w:r>
      <w:r w:rsidRPr="00084F70">
        <w:rPr>
          <w:rFonts w:ascii="gobCL" w:hAnsi="gobCL"/>
        </w:rPr>
        <w:t>cuicultura,</w:t>
      </w:r>
      <w:r w:rsidRPr="00084F70">
        <w:rPr>
          <w:rFonts w:ascii="gobCL" w:hAnsi="gobCL"/>
        </w:rPr>
        <w:t xml:space="preserve"> por medio de la presente y haciendo uso del derecho a solicitar aclaraciones a las bases de remate de Permisos Especiales de Pesca de Bacalao de profundidad contenidas en la Resolución Exenta Cero Papel N°</w:t>
      </w:r>
      <w:r>
        <w:rPr>
          <w:rFonts w:ascii="gobCL" w:hAnsi="gobCL"/>
        </w:rPr>
        <w:t xml:space="preserve"> </w:t>
      </w:r>
      <w:r w:rsidRPr="00084F70">
        <w:rPr>
          <w:rFonts w:ascii="gobCL" w:hAnsi="gobCL"/>
        </w:rPr>
        <w:t>458 de 2023, rectificada posteriormente por RESOL. EX N°</w:t>
      </w:r>
      <w:r>
        <w:rPr>
          <w:rFonts w:ascii="gobCL" w:hAnsi="gobCL"/>
        </w:rPr>
        <w:t xml:space="preserve"> </w:t>
      </w:r>
      <w:r w:rsidRPr="00084F70">
        <w:rPr>
          <w:rFonts w:ascii="gobCL" w:hAnsi="gobCL"/>
        </w:rPr>
        <w:t xml:space="preserve">00049 de fecha 09 de enero de 2024, se requiere la siguiente </w:t>
      </w:r>
      <w:r w:rsidRPr="00084F70">
        <w:rPr>
          <w:rFonts w:ascii="gobCL" w:hAnsi="gobCL"/>
        </w:rPr>
        <w:t>aclaración:</w:t>
      </w:r>
      <w:r w:rsidRPr="00084F70">
        <w:rPr>
          <w:rFonts w:ascii="Calibri" w:hAnsi="Calibri" w:cs="Calibri"/>
        </w:rPr>
        <w:t> </w:t>
      </w:r>
      <w:r w:rsidRPr="00084F70">
        <w:rPr>
          <w:rFonts w:ascii="gobCL" w:hAnsi="gobCL"/>
        </w:rPr>
        <w:t xml:space="preserve"> </w:t>
      </w:r>
    </w:p>
    <w:p w14:paraId="3980A051" w14:textId="77777777" w:rsidR="00084F70" w:rsidRPr="00084F70" w:rsidRDefault="00084F70" w:rsidP="00084F70">
      <w:pPr>
        <w:pStyle w:val="Prrafodelista"/>
        <w:numPr>
          <w:ilvl w:val="0"/>
          <w:numId w:val="13"/>
        </w:numPr>
        <w:ind w:left="360"/>
        <w:jc w:val="both"/>
        <w:rPr>
          <w:rFonts w:ascii="gobCL" w:hAnsi="gobCL"/>
          <w:i/>
          <w:iCs/>
        </w:rPr>
      </w:pPr>
      <w:r>
        <w:rPr>
          <w:rFonts w:ascii="gobCL" w:hAnsi="gobCL"/>
        </w:rPr>
        <w:t xml:space="preserve">Como se indica en el considerando Nº20 de la RESOL. </w:t>
      </w:r>
      <w:r>
        <w:t>EX N°00049</w:t>
      </w:r>
      <w:r>
        <w:rPr>
          <w:rFonts w:ascii="gobCL" w:hAnsi="gobCL"/>
        </w:rPr>
        <w:t>, a saber,</w:t>
      </w:r>
      <w:r>
        <w:t> </w:t>
      </w:r>
      <w:r>
        <w:rPr>
          <w:rFonts w:ascii="gobCL" w:hAnsi="gobCL"/>
        </w:rPr>
        <w:t xml:space="preserve"> </w:t>
      </w:r>
      <w:r>
        <w:rPr>
          <w:rFonts w:ascii="gobCL" w:hAnsi="gobCL"/>
          <w:i/>
          <w:iCs/>
          <w:u w:val="single"/>
        </w:rPr>
        <w:t xml:space="preserve">“que dado que las toneladas variaron, se dará un plazo adicional para que los </w:t>
      </w:r>
      <w:r>
        <w:rPr>
          <w:i/>
          <w:iCs/>
          <w:u w:val="single"/>
        </w:rPr>
        <w:t> </w:t>
      </w:r>
      <w:r>
        <w:rPr>
          <w:rFonts w:ascii="gobCL" w:hAnsi="gobCL"/>
          <w:i/>
          <w:iCs/>
          <w:u w:val="single"/>
        </w:rPr>
        <w:t>oferentes presentes nuevas ofertas si lo estiman pertinente”</w:t>
      </w:r>
      <w:r>
        <w:rPr>
          <w:rFonts w:ascii="gobCL" w:hAnsi="gobCL"/>
          <w:i/>
          <w:iCs/>
        </w:rPr>
        <w:t xml:space="preserve"> </w:t>
      </w:r>
      <w:r>
        <w:rPr>
          <w:rFonts w:ascii="gobCL" w:hAnsi="gobCL"/>
        </w:rPr>
        <w:t>:</w:t>
      </w:r>
      <w:r>
        <w:t>  </w:t>
      </w:r>
      <w:r>
        <w:rPr>
          <w:rFonts w:ascii="gobCL" w:hAnsi="gobCL"/>
        </w:rPr>
        <w:t xml:space="preserve"> En el evento de que un oferente no decida modificar en lo absoluto su oferta original, se requiere necesariamente volver a confeccionar y volver presentar unos nuevos sobres de “Propuestas Económicas” ( Nº2 ) y de “Desempates” ( Nº3 ) pese a que estos últimos serán idénticos a los sobres originales que siguen en poder de esta Subsecretaría ?</w:t>
      </w:r>
    </w:p>
    <w:p w14:paraId="26325BBA" w14:textId="77777777" w:rsidR="00084F70" w:rsidRPr="00084F70" w:rsidRDefault="00084F70" w:rsidP="00084F70">
      <w:pPr>
        <w:pStyle w:val="Prrafodelista"/>
        <w:ind w:left="360"/>
        <w:jc w:val="both"/>
        <w:rPr>
          <w:rFonts w:ascii="gobCL" w:hAnsi="gobCL"/>
          <w:i/>
          <w:iCs/>
        </w:rPr>
      </w:pPr>
    </w:p>
    <w:p w14:paraId="0092C466" w14:textId="16932655" w:rsidR="00084F70" w:rsidRPr="00084F70" w:rsidRDefault="00084F70" w:rsidP="00084F70">
      <w:pPr>
        <w:pStyle w:val="Prrafodelista"/>
        <w:ind w:left="360"/>
        <w:jc w:val="both"/>
        <w:rPr>
          <w:rFonts w:ascii="gobCL" w:hAnsi="gobCL"/>
          <w:i/>
          <w:iCs/>
        </w:rPr>
      </w:pPr>
      <w:r w:rsidRPr="00084F70">
        <w:rPr>
          <w:rFonts w:ascii="gobCL" w:eastAsia="Calibri" w:hAnsi="gobCL" w:cs="Calibri"/>
          <w:b/>
          <w:bCs/>
          <w:color w:val="4472C4" w:themeColor="accent1"/>
        </w:rPr>
        <w:t>N</w:t>
      </w:r>
      <w:r w:rsidRPr="00084F70">
        <w:rPr>
          <w:rFonts w:ascii="gobCL" w:eastAsia="Calibri" w:hAnsi="gobCL" w:cs="Calibri"/>
          <w:b/>
          <w:bCs/>
          <w:color w:val="4472C4" w:themeColor="accent1"/>
        </w:rPr>
        <w:t>o es necesario, el presentar nuevas ofertas es facultativo para los oferentes.</w:t>
      </w:r>
    </w:p>
    <w:p w14:paraId="7B366F16" w14:textId="6343F797" w:rsidR="00CE3B35" w:rsidRPr="00084F70" w:rsidRDefault="00CE3B35" w:rsidP="00084F70">
      <w:pPr>
        <w:spacing w:line="240" w:lineRule="auto"/>
        <w:jc w:val="both"/>
        <w:rPr>
          <w:rFonts w:ascii="gobCL" w:eastAsia="Calibri" w:hAnsi="gobCL" w:cs="Calibri"/>
          <w:bCs/>
          <w:lang w:eastAsia="es-CL"/>
        </w:rPr>
      </w:pPr>
    </w:p>
    <w:p w14:paraId="40B601CA" w14:textId="77777777" w:rsidR="00084F70" w:rsidRDefault="00084F70" w:rsidP="00084F70">
      <w:pPr>
        <w:spacing w:line="240" w:lineRule="auto"/>
        <w:jc w:val="both"/>
        <w:rPr>
          <w:rFonts w:ascii="gobCL" w:hAnsi="gobCL"/>
          <w:bCs/>
        </w:rPr>
      </w:pPr>
      <w:r w:rsidRPr="00084F70">
        <w:rPr>
          <w:rFonts w:ascii="gobCL" w:hAnsi="gobCL"/>
          <w:bCs/>
        </w:rPr>
        <w:t xml:space="preserve">2. </w:t>
      </w:r>
      <w:r w:rsidRPr="00084F70">
        <w:rPr>
          <w:rFonts w:ascii="gobCL" w:hAnsi="gobCL"/>
          <w:bCs/>
        </w:rPr>
        <w:t xml:space="preserve">En referencia a la rectificación del N° 7 del resuelvo de la Resolución Exenta </w:t>
      </w:r>
      <w:r>
        <w:rPr>
          <w:rFonts w:ascii="gobCL" w:hAnsi="gobCL"/>
          <w:bCs/>
        </w:rPr>
        <w:t>C</w:t>
      </w:r>
      <w:r w:rsidRPr="00084F70">
        <w:rPr>
          <w:rFonts w:ascii="gobCL" w:hAnsi="gobCL"/>
          <w:bCs/>
        </w:rPr>
        <w:t xml:space="preserve">ero </w:t>
      </w:r>
      <w:r>
        <w:rPr>
          <w:rFonts w:ascii="gobCL" w:hAnsi="gobCL"/>
          <w:bCs/>
        </w:rPr>
        <w:t>P</w:t>
      </w:r>
      <w:r w:rsidRPr="00084F70">
        <w:rPr>
          <w:rFonts w:ascii="gobCL" w:hAnsi="gobCL"/>
          <w:bCs/>
        </w:rPr>
        <w:t xml:space="preserve">apel N° 458 de 2023, la sumatoria de las toneladas de los 13 lotes asciende a 207,7 toneladas del recurso bacalao de profundidad, esto es, 4,2 toneladas menos que el 10% de la cuota global de captura determinada para el año 2024 (numeral 7 del considerando de la Resolución Exenta N° 00049/2024, que indica que la cuota asciende a 2.119 toneladas). </w:t>
      </w:r>
    </w:p>
    <w:p w14:paraId="6CEBF09C" w14:textId="4AFCCE75" w:rsidR="00084F70" w:rsidRPr="00084F70" w:rsidRDefault="00084F70" w:rsidP="00084F70">
      <w:pPr>
        <w:spacing w:line="240" w:lineRule="auto"/>
        <w:jc w:val="both"/>
        <w:rPr>
          <w:rFonts w:ascii="gobCL" w:hAnsi="gobCL"/>
          <w:bCs/>
        </w:rPr>
      </w:pPr>
      <w:r>
        <w:rPr>
          <w:rFonts w:ascii="gobCL" w:hAnsi="gobCL"/>
          <w:bCs/>
        </w:rPr>
        <w:t xml:space="preserve">a) </w:t>
      </w:r>
      <w:r w:rsidRPr="00084F70">
        <w:rPr>
          <w:rFonts w:ascii="gobCL" w:hAnsi="gobCL"/>
          <w:bCs/>
        </w:rPr>
        <w:t xml:space="preserve">Al respecto agradeceré señalar a que se debe que se licite menos del 10% de la cuota, </w:t>
      </w:r>
      <w:r w:rsidR="000A188F">
        <w:rPr>
          <w:rFonts w:ascii="gobCL" w:hAnsi="gobCL"/>
          <w:bCs/>
        </w:rPr>
        <w:t>¿</w:t>
      </w:r>
      <w:r w:rsidRPr="00084F70">
        <w:rPr>
          <w:rFonts w:ascii="gobCL" w:hAnsi="gobCL"/>
          <w:bCs/>
        </w:rPr>
        <w:t>hay alguna deducción?</w:t>
      </w:r>
    </w:p>
    <w:p w14:paraId="3E22EDE4" w14:textId="77777777" w:rsidR="00084F70" w:rsidRPr="00084F70" w:rsidRDefault="00084F70" w:rsidP="00084F70">
      <w:pPr>
        <w:pStyle w:val="Prrafodelista"/>
        <w:ind w:left="360"/>
        <w:jc w:val="both"/>
        <w:rPr>
          <w:rFonts w:ascii="gobCL" w:hAnsi="gobCL"/>
          <w:b/>
          <w:bCs/>
          <w:color w:val="4472C4" w:themeColor="accent1"/>
        </w:rPr>
      </w:pPr>
      <w:r w:rsidRPr="00084F70">
        <w:rPr>
          <w:rFonts w:ascii="gobCL" w:hAnsi="gobCL"/>
          <w:b/>
          <w:bCs/>
          <w:color w:val="4472C4" w:themeColor="accent1"/>
        </w:rPr>
        <w:t>Esto se debe que a la cuota global de captura se le deduce la cuota de investigación, tal como se indica en el Decreto Exento N° 159 de 2023, del modo que sigue:</w:t>
      </w:r>
    </w:p>
    <w:p w14:paraId="5D0D09A9" w14:textId="77777777" w:rsidR="00084F70" w:rsidRPr="00084F70" w:rsidRDefault="00084F70" w:rsidP="00084F70">
      <w:pPr>
        <w:rPr>
          <w:rFonts w:ascii="Calibri" w:hAnsi="Calibri"/>
          <w:b/>
          <w:bCs/>
          <w:color w:val="4472C4" w:themeColor="accent1"/>
        </w:rPr>
      </w:pPr>
    </w:p>
    <w:p w14:paraId="58387D52" w14:textId="77A77BA9" w:rsidR="00084F70" w:rsidRDefault="00084F70" w:rsidP="00084F70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5FAB5F2" wp14:editId="3FC80653">
            <wp:extent cx="5612130" cy="2731135"/>
            <wp:effectExtent l="0" t="0" r="7620" b="12065"/>
            <wp:docPr id="156741241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12410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827D" w14:textId="77777777" w:rsidR="00084F70" w:rsidRPr="00084F70" w:rsidRDefault="00084F70" w:rsidP="00084F70">
      <w:pPr>
        <w:spacing w:line="240" w:lineRule="auto"/>
        <w:jc w:val="both"/>
        <w:rPr>
          <w:rFonts w:ascii="gobCL" w:hAnsi="gobCL"/>
          <w:bCs/>
        </w:rPr>
      </w:pPr>
    </w:p>
    <w:p w14:paraId="20ECCBF4" w14:textId="25CE867E" w:rsidR="00084F70" w:rsidRPr="00084F70" w:rsidRDefault="00084F70" w:rsidP="00084F70">
      <w:pPr>
        <w:spacing w:line="240" w:lineRule="auto"/>
        <w:jc w:val="both"/>
        <w:rPr>
          <w:rFonts w:ascii="gobCL" w:hAnsi="gobCL"/>
          <w:bCs/>
        </w:rPr>
      </w:pPr>
      <w:r>
        <w:rPr>
          <w:rFonts w:ascii="gobCL" w:hAnsi="gobCL"/>
          <w:bCs/>
        </w:rPr>
        <w:lastRenderedPageBreak/>
        <w:t xml:space="preserve">b) </w:t>
      </w:r>
      <w:r w:rsidRPr="00084F70">
        <w:rPr>
          <w:rFonts w:ascii="gobCL" w:hAnsi="gobCL"/>
          <w:bCs/>
        </w:rPr>
        <w:t xml:space="preserve">Es posible que los oferentes mantengan los sobres 2 y 3 en los términos en que inicialmente fueron presentados? </w:t>
      </w:r>
      <w:r w:rsidRPr="00084F70">
        <w:rPr>
          <w:rFonts w:ascii="gobCL" w:hAnsi="gobCL"/>
          <w:bCs/>
        </w:rPr>
        <w:t>¿Si así fuese, se requerirá confirmación por escrito o es válido mantenerlos tal cual está?</w:t>
      </w:r>
    </w:p>
    <w:p w14:paraId="3A8D6448" w14:textId="77777777" w:rsidR="00E031F3" w:rsidRPr="00E031F3" w:rsidRDefault="00E031F3" w:rsidP="00E031F3">
      <w:pPr>
        <w:pStyle w:val="Prrafodelista"/>
        <w:ind w:left="360"/>
        <w:jc w:val="both"/>
        <w:rPr>
          <w:rFonts w:ascii="gobCL" w:hAnsi="gobCL"/>
          <w:b/>
          <w:bCs/>
          <w:color w:val="4472C4" w:themeColor="accent1"/>
        </w:rPr>
      </w:pPr>
      <w:r w:rsidRPr="00E031F3">
        <w:rPr>
          <w:rFonts w:ascii="gobCL" w:hAnsi="gobCL"/>
          <w:b/>
          <w:bCs/>
          <w:color w:val="4472C4" w:themeColor="accent1"/>
        </w:rPr>
        <w:t>Si decide mantener las ofertas originales no es necesario que haga algo, es facultativo presentar nuevas ofertas.</w:t>
      </w:r>
    </w:p>
    <w:p w14:paraId="725099F2" w14:textId="3759219D" w:rsidR="00CE3B35" w:rsidRPr="00CE3B35" w:rsidRDefault="00CE3B35" w:rsidP="00CE3B35">
      <w:pPr>
        <w:jc w:val="both"/>
        <w:rPr>
          <w:rFonts w:ascii="gobCL" w:eastAsia="Calibri" w:hAnsi="gobCL" w:cs="Calibri"/>
          <w:lang w:eastAsia="es-CL"/>
        </w:rPr>
      </w:pPr>
    </w:p>
    <w:p w14:paraId="784E16F3" w14:textId="77777777" w:rsidR="00680764" w:rsidRPr="00680764" w:rsidRDefault="00680764" w:rsidP="00680764">
      <w:pPr>
        <w:widowControl w:val="0"/>
        <w:spacing w:after="0" w:line="240" w:lineRule="auto"/>
        <w:ind w:left="709"/>
        <w:jc w:val="both"/>
        <w:rPr>
          <w:rFonts w:ascii="gobCL" w:eastAsia="Times New Roman" w:hAnsi="gobCL" w:cs="Arial"/>
          <w:snapToGrid w:val="0"/>
          <w:lang w:val="es-ES_tradnl" w:eastAsia="es-ES"/>
        </w:rPr>
      </w:pPr>
    </w:p>
    <w:sectPr w:rsidR="00680764" w:rsidRPr="00680764" w:rsidSect="003D58F3">
      <w:foot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69E2" w14:textId="77777777" w:rsidR="00D20F14" w:rsidRDefault="00D20F14" w:rsidP="00D20F14">
      <w:pPr>
        <w:spacing w:after="0" w:line="240" w:lineRule="auto"/>
      </w:pPr>
      <w:r>
        <w:separator/>
      </w:r>
    </w:p>
  </w:endnote>
  <w:endnote w:type="continuationSeparator" w:id="0">
    <w:p w14:paraId="69C8861A" w14:textId="77777777" w:rsidR="00D20F14" w:rsidRDefault="00D20F14" w:rsidP="00D2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85EA" w14:textId="77777777" w:rsidR="00D20F14" w:rsidRPr="00D20F14" w:rsidRDefault="00D20F14">
    <w:pPr>
      <w:tabs>
        <w:tab w:val="center" w:pos="4550"/>
        <w:tab w:val="left" w:pos="5818"/>
      </w:tabs>
      <w:ind w:right="260"/>
      <w:jc w:val="right"/>
      <w:rPr>
        <w:rFonts w:ascii="gobCL" w:hAnsi="gobCL"/>
        <w:sz w:val="20"/>
        <w:szCs w:val="20"/>
      </w:rPr>
    </w:pPr>
    <w:r w:rsidRPr="00D20F14">
      <w:rPr>
        <w:rFonts w:ascii="gobCL" w:hAnsi="gobCL"/>
        <w:spacing w:val="60"/>
        <w:sz w:val="20"/>
        <w:szCs w:val="20"/>
        <w:lang w:val="es-ES"/>
      </w:rPr>
      <w:t>Página</w:t>
    </w:r>
    <w:r w:rsidRPr="00D20F14">
      <w:rPr>
        <w:rFonts w:ascii="gobCL" w:hAnsi="gobCL"/>
        <w:sz w:val="20"/>
        <w:szCs w:val="20"/>
        <w:lang w:val="es-ES"/>
      </w:rPr>
      <w:t xml:space="preserve"> </w:t>
    </w:r>
    <w:r w:rsidRPr="00D20F14">
      <w:rPr>
        <w:rFonts w:ascii="gobCL" w:hAnsi="gobCL"/>
        <w:sz w:val="20"/>
        <w:szCs w:val="20"/>
      </w:rPr>
      <w:fldChar w:fldCharType="begin"/>
    </w:r>
    <w:r w:rsidRPr="00D20F14">
      <w:rPr>
        <w:rFonts w:ascii="gobCL" w:hAnsi="gobCL"/>
        <w:sz w:val="20"/>
        <w:szCs w:val="20"/>
      </w:rPr>
      <w:instrText>PAGE   \* MERGEFORMAT</w:instrText>
    </w:r>
    <w:r w:rsidRPr="00D20F14">
      <w:rPr>
        <w:rFonts w:ascii="gobCL" w:hAnsi="gobCL"/>
        <w:sz w:val="20"/>
        <w:szCs w:val="20"/>
      </w:rPr>
      <w:fldChar w:fldCharType="separate"/>
    </w:r>
    <w:r w:rsidRPr="00D20F14">
      <w:rPr>
        <w:rFonts w:ascii="gobCL" w:hAnsi="gobCL"/>
        <w:sz w:val="20"/>
        <w:szCs w:val="20"/>
        <w:lang w:val="es-ES"/>
      </w:rPr>
      <w:t>1</w:t>
    </w:r>
    <w:r w:rsidRPr="00D20F14">
      <w:rPr>
        <w:rFonts w:ascii="gobCL" w:hAnsi="gobCL"/>
        <w:sz w:val="20"/>
        <w:szCs w:val="20"/>
      </w:rPr>
      <w:fldChar w:fldCharType="end"/>
    </w:r>
    <w:r w:rsidRPr="00D20F14">
      <w:rPr>
        <w:rFonts w:ascii="gobCL" w:hAnsi="gobCL"/>
        <w:sz w:val="20"/>
        <w:szCs w:val="20"/>
        <w:lang w:val="es-ES"/>
      </w:rPr>
      <w:t xml:space="preserve"> | </w:t>
    </w:r>
    <w:r w:rsidRPr="00D20F14">
      <w:rPr>
        <w:rFonts w:ascii="gobCL" w:hAnsi="gobCL"/>
        <w:sz w:val="20"/>
        <w:szCs w:val="20"/>
      </w:rPr>
      <w:fldChar w:fldCharType="begin"/>
    </w:r>
    <w:r w:rsidRPr="00D20F14">
      <w:rPr>
        <w:rFonts w:ascii="gobCL" w:hAnsi="gobCL"/>
        <w:sz w:val="20"/>
        <w:szCs w:val="20"/>
      </w:rPr>
      <w:instrText>NUMPAGES  \* Arabic  \* MERGEFORMAT</w:instrText>
    </w:r>
    <w:r w:rsidRPr="00D20F14">
      <w:rPr>
        <w:rFonts w:ascii="gobCL" w:hAnsi="gobCL"/>
        <w:sz w:val="20"/>
        <w:szCs w:val="20"/>
      </w:rPr>
      <w:fldChar w:fldCharType="separate"/>
    </w:r>
    <w:r w:rsidRPr="00D20F14">
      <w:rPr>
        <w:rFonts w:ascii="gobCL" w:hAnsi="gobCL"/>
        <w:sz w:val="20"/>
        <w:szCs w:val="20"/>
        <w:lang w:val="es-ES"/>
      </w:rPr>
      <w:t>1</w:t>
    </w:r>
    <w:r w:rsidRPr="00D20F14">
      <w:rPr>
        <w:rFonts w:ascii="gobCL" w:hAnsi="gobCL"/>
        <w:sz w:val="20"/>
        <w:szCs w:val="20"/>
      </w:rPr>
      <w:fldChar w:fldCharType="end"/>
    </w:r>
  </w:p>
  <w:p w14:paraId="32D9041A" w14:textId="77777777" w:rsidR="00D20F14" w:rsidRDefault="00D20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A3A5" w14:textId="77777777" w:rsidR="00D20F14" w:rsidRDefault="00D20F14" w:rsidP="00D20F14">
      <w:pPr>
        <w:spacing w:after="0" w:line="240" w:lineRule="auto"/>
      </w:pPr>
      <w:r>
        <w:separator/>
      </w:r>
    </w:p>
  </w:footnote>
  <w:footnote w:type="continuationSeparator" w:id="0">
    <w:p w14:paraId="0E89021E" w14:textId="77777777" w:rsidR="00D20F14" w:rsidRDefault="00D20F14" w:rsidP="00D2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ED0"/>
    <w:multiLevelType w:val="hybridMultilevel"/>
    <w:tmpl w:val="F9D864A4"/>
    <w:lvl w:ilvl="0" w:tplc="7818AC00">
      <w:start w:val="1"/>
      <w:numFmt w:val="lowerLetter"/>
      <w:lvlText w:val="%1)"/>
      <w:lvlJc w:val="left"/>
      <w:pPr>
        <w:ind w:left="1778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2A25FB"/>
    <w:multiLevelType w:val="hybridMultilevel"/>
    <w:tmpl w:val="1FFC6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60532"/>
    <w:multiLevelType w:val="hybridMultilevel"/>
    <w:tmpl w:val="3A4003A8"/>
    <w:lvl w:ilvl="0" w:tplc="517ECE1A">
      <w:start w:val="42"/>
      <w:numFmt w:val="bullet"/>
      <w:lvlText w:val="-"/>
      <w:lvlJc w:val="left"/>
      <w:pPr>
        <w:ind w:left="720" w:hanging="360"/>
      </w:pPr>
      <w:rPr>
        <w:rFonts w:ascii="gobCL" w:eastAsia="Calibri" w:hAnsi="gobCL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76CA"/>
    <w:multiLevelType w:val="hybridMultilevel"/>
    <w:tmpl w:val="BAEED7B2"/>
    <w:lvl w:ilvl="0" w:tplc="667C447C">
      <w:start w:val="1"/>
      <w:numFmt w:val="lowerRoman"/>
      <w:lvlText w:val="%1)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5988"/>
    <w:multiLevelType w:val="hybridMultilevel"/>
    <w:tmpl w:val="58E80E4C"/>
    <w:lvl w:ilvl="0" w:tplc="5FACB3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315BA"/>
    <w:multiLevelType w:val="hybridMultilevel"/>
    <w:tmpl w:val="7DA24F6E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0ED9"/>
    <w:multiLevelType w:val="hybridMultilevel"/>
    <w:tmpl w:val="E892BC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0A62"/>
    <w:multiLevelType w:val="hybridMultilevel"/>
    <w:tmpl w:val="C96025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8658E"/>
    <w:multiLevelType w:val="hybridMultilevel"/>
    <w:tmpl w:val="37FE6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132F6"/>
    <w:multiLevelType w:val="hybridMultilevel"/>
    <w:tmpl w:val="57583662"/>
    <w:lvl w:ilvl="0" w:tplc="45E02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3D5603"/>
    <w:multiLevelType w:val="hybridMultilevel"/>
    <w:tmpl w:val="B3A8C294"/>
    <w:lvl w:ilvl="0" w:tplc="353834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44546A" w:themeColor="text2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A4B94"/>
    <w:multiLevelType w:val="hybridMultilevel"/>
    <w:tmpl w:val="EB50F28A"/>
    <w:lvl w:ilvl="0" w:tplc="7EBC8A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393385"/>
    <w:multiLevelType w:val="hybridMultilevel"/>
    <w:tmpl w:val="0E9269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85D71"/>
    <w:multiLevelType w:val="hybridMultilevel"/>
    <w:tmpl w:val="0600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B3F27"/>
    <w:multiLevelType w:val="multilevel"/>
    <w:tmpl w:val="E630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8066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8742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813721">
    <w:abstractNumId w:val="12"/>
  </w:num>
  <w:num w:numId="4" w16cid:durableId="846208855">
    <w:abstractNumId w:val="4"/>
  </w:num>
  <w:num w:numId="5" w16cid:durableId="1729187302">
    <w:abstractNumId w:val="9"/>
  </w:num>
  <w:num w:numId="6" w16cid:durableId="708065530">
    <w:abstractNumId w:val="0"/>
  </w:num>
  <w:num w:numId="7" w16cid:durableId="1924603265">
    <w:abstractNumId w:val="10"/>
  </w:num>
  <w:num w:numId="8" w16cid:durableId="278998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394255">
    <w:abstractNumId w:val="1"/>
  </w:num>
  <w:num w:numId="10" w16cid:durableId="1097628874">
    <w:abstractNumId w:val="13"/>
  </w:num>
  <w:num w:numId="11" w16cid:durableId="1195266271">
    <w:abstractNumId w:val="5"/>
  </w:num>
  <w:num w:numId="12" w16cid:durableId="277296516">
    <w:abstractNumId w:val="11"/>
  </w:num>
  <w:num w:numId="13" w16cid:durableId="36996104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367224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03139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21"/>
    <w:rsid w:val="00054426"/>
    <w:rsid w:val="00054BE7"/>
    <w:rsid w:val="00084F70"/>
    <w:rsid w:val="00087533"/>
    <w:rsid w:val="000A188F"/>
    <w:rsid w:val="00127711"/>
    <w:rsid w:val="00152B21"/>
    <w:rsid w:val="001E43F9"/>
    <w:rsid w:val="002028AA"/>
    <w:rsid w:val="003D58F3"/>
    <w:rsid w:val="00571177"/>
    <w:rsid w:val="005F6BFA"/>
    <w:rsid w:val="00650AD5"/>
    <w:rsid w:val="00680764"/>
    <w:rsid w:val="006D0A6E"/>
    <w:rsid w:val="006F3983"/>
    <w:rsid w:val="008426B4"/>
    <w:rsid w:val="008C65A4"/>
    <w:rsid w:val="00907737"/>
    <w:rsid w:val="00972265"/>
    <w:rsid w:val="0097691E"/>
    <w:rsid w:val="009C2A45"/>
    <w:rsid w:val="00AC4FDA"/>
    <w:rsid w:val="00B819E7"/>
    <w:rsid w:val="00BA452E"/>
    <w:rsid w:val="00C10A21"/>
    <w:rsid w:val="00CE3B35"/>
    <w:rsid w:val="00D039CF"/>
    <w:rsid w:val="00D050F6"/>
    <w:rsid w:val="00D127B2"/>
    <w:rsid w:val="00D20F14"/>
    <w:rsid w:val="00DB5BDF"/>
    <w:rsid w:val="00DE2066"/>
    <w:rsid w:val="00E031F3"/>
    <w:rsid w:val="00F203E1"/>
    <w:rsid w:val="00F247A1"/>
    <w:rsid w:val="00F7741C"/>
    <w:rsid w:val="00F863D0"/>
    <w:rsid w:val="00F93BC2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7D7B"/>
  <w15:chartTrackingRefBased/>
  <w15:docId w15:val="{98A8BF33-484B-4523-A7FA-E02526D7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B2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8AA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2028A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F14"/>
  </w:style>
  <w:style w:type="paragraph" w:styleId="Piedepgina">
    <w:name w:val="footer"/>
    <w:basedOn w:val="Normal"/>
    <w:link w:val="PiedepginaCar"/>
    <w:uiPriority w:val="99"/>
    <w:unhideWhenUsed/>
    <w:rsid w:val="00D20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F14"/>
  </w:style>
  <w:style w:type="paragraph" w:styleId="Textonotapie">
    <w:name w:val="footnote text"/>
    <w:basedOn w:val="Normal"/>
    <w:link w:val="TextonotapieCar"/>
    <w:uiPriority w:val="99"/>
    <w:semiHidden/>
    <w:unhideWhenUsed/>
    <w:rsid w:val="006807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0764"/>
    <w:rPr>
      <w:sz w:val="20"/>
      <w:szCs w:val="20"/>
    </w:rPr>
  </w:style>
  <w:style w:type="character" w:styleId="Refdenotaalpie">
    <w:name w:val="footnote reference"/>
    <w:rsid w:val="00680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publica@subpesca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3.png@01DA44A3.7B67F7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F0EF-FBD4-4706-8461-FCF58C97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Ortiz</dc:creator>
  <cp:keywords/>
  <dc:description/>
  <cp:lastModifiedBy>Francisco Ortiz</cp:lastModifiedBy>
  <cp:revision>6</cp:revision>
  <cp:lastPrinted>2023-11-29T19:10:00Z</cp:lastPrinted>
  <dcterms:created xsi:type="dcterms:W3CDTF">2024-01-11T18:43:00Z</dcterms:created>
  <dcterms:modified xsi:type="dcterms:W3CDTF">2024-01-11T18:51:00Z</dcterms:modified>
</cp:coreProperties>
</file>