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6E87" w14:textId="77777777" w:rsidR="00907737" w:rsidRDefault="00907737" w:rsidP="00DE2066">
      <w:pPr>
        <w:pStyle w:val="Prrafodelista"/>
        <w:jc w:val="center"/>
        <w:rPr>
          <w:rFonts w:ascii="gobCL" w:hAnsi="gobCL"/>
          <w:b/>
          <w:u w:val="single"/>
        </w:rPr>
      </w:pPr>
      <w:r>
        <w:rPr>
          <w:rFonts w:ascii="gobCL" w:hAnsi="gobCL"/>
          <w:b/>
          <w:u w:val="single"/>
        </w:rPr>
        <w:t>ACLARACIONES A BASES ADMINISTRATIVAS SUBASTA PERMISOS EXTRAORDINARIOS DE PESCA</w:t>
      </w:r>
    </w:p>
    <w:p w14:paraId="479505F0" w14:textId="77777777" w:rsidR="00907737" w:rsidRDefault="00907737" w:rsidP="00DE2066">
      <w:pPr>
        <w:pStyle w:val="Prrafodelista"/>
        <w:jc w:val="center"/>
        <w:rPr>
          <w:rFonts w:ascii="gobCL" w:hAnsi="gobCL"/>
          <w:b/>
        </w:rPr>
      </w:pPr>
    </w:p>
    <w:p w14:paraId="3B119A4F" w14:textId="3ED11230" w:rsidR="00907737" w:rsidRDefault="00907737" w:rsidP="00907737">
      <w:pPr>
        <w:jc w:val="both"/>
        <w:rPr>
          <w:rFonts w:ascii="gobCL" w:hAnsi="gobCL"/>
        </w:rPr>
      </w:pPr>
      <w:r>
        <w:rPr>
          <w:rFonts w:ascii="gobCL" w:hAnsi="gobCL"/>
          <w:b/>
        </w:rPr>
        <w:t xml:space="preserve">Aclaraciones a las bases dirigidas al correo electrónico </w:t>
      </w:r>
      <w:hyperlink r:id="rId8" w:history="1">
        <w:r>
          <w:rPr>
            <w:rStyle w:val="Hipervnculo"/>
            <w:rFonts w:ascii="gobCL" w:hAnsi="gobCL"/>
            <w:b/>
          </w:rPr>
          <w:t>subastapublica@subpesca.cl</w:t>
        </w:r>
      </w:hyperlink>
      <w:r>
        <w:rPr>
          <w:rFonts w:ascii="gobCL" w:hAnsi="gobCL"/>
          <w:b/>
        </w:rPr>
        <w:t xml:space="preserve"> a la fecha de </w:t>
      </w:r>
      <w:r w:rsidR="00F203E1">
        <w:rPr>
          <w:rFonts w:ascii="gobCL" w:hAnsi="gobCL"/>
          <w:b/>
        </w:rPr>
        <w:t>04</w:t>
      </w:r>
      <w:r>
        <w:rPr>
          <w:rFonts w:ascii="gobCL" w:hAnsi="gobCL"/>
          <w:b/>
        </w:rPr>
        <w:t xml:space="preserve"> </w:t>
      </w:r>
      <w:r w:rsidR="00F203E1">
        <w:rPr>
          <w:rFonts w:ascii="gobCL" w:hAnsi="gobCL"/>
          <w:b/>
        </w:rPr>
        <w:t>diciembre</w:t>
      </w:r>
      <w:r>
        <w:rPr>
          <w:rFonts w:ascii="gobCL" w:hAnsi="gobCL"/>
          <w:b/>
        </w:rPr>
        <w:t xml:space="preserve"> de 202</w:t>
      </w:r>
      <w:r w:rsidR="00D050F6">
        <w:rPr>
          <w:rFonts w:ascii="gobCL" w:hAnsi="gobCL"/>
          <w:b/>
        </w:rPr>
        <w:t>3</w:t>
      </w:r>
      <w:r>
        <w:rPr>
          <w:rFonts w:ascii="gobCL" w:hAnsi="gobCL"/>
          <w:b/>
        </w:rPr>
        <w:t>, según el orden de llegada y dentro del plazo de 3 días hábiles.</w:t>
      </w:r>
    </w:p>
    <w:p w14:paraId="7B366F16" w14:textId="7084402D" w:rsidR="00CE3B35" w:rsidRPr="00CE3B35" w:rsidRDefault="00CE3B35" w:rsidP="00CE3B35">
      <w:pPr>
        <w:jc w:val="both"/>
        <w:rPr>
          <w:rFonts w:ascii="gobCL" w:eastAsia="Calibri" w:hAnsi="gobCL" w:cs="Calibri"/>
          <w:lang w:eastAsia="es-CL"/>
        </w:rPr>
      </w:pPr>
      <w:r w:rsidRPr="00CE3B35">
        <w:rPr>
          <w:rFonts w:ascii="gobCL" w:hAnsi="gobCL" w:cs="Times New Roman"/>
          <w:color w:val="000000"/>
          <w:lang w:eastAsia="es-CL"/>
        </w:rPr>
        <w:t>3.</w:t>
      </w:r>
      <w:r w:rsidRPr="00CE3B35">
        <w:rPr>
          <w:rFonts w:ascii="gobCL" w:eastAsia="Calibri" w:hAnsi="gobCL" w:cs="Calibri"/>
          <w:lang w:eastAsia="es-CL"/>
        </w:rPr>
        <w:t xml:space="preserve"> Junto con saludar, y atendido el punto 5., respectivo, de las bases administrativa de subasta de las resoluciones N°00456/2023; N°00458/2023; N°00459/2023; Y N°00457/2023, vengo en realizar 2 consultas atingentes a las bases, a saber:</w:t>
      </w:r>
    </w:p>
    <w:p w14:paraId="725099F2" w14:textId="77777777" w:rsidR="00CE3B35" w:rsidRPr="00CE3B35" w:rsidRDefault="00CE3B35" w:rsidP="00CE3B35">
      <w:pPr>
        <w:jc w:val="both"/>
        <w:rPr>
          <w:rFonts w:ascii="gobCL" w:eastAsia="Calibri" w:hAnsi="gobCL" w:cs="Calibri"/>
          <w:lang w:eastAsia="es-CL"/>
        </w:rPr>
      </w:pPr>
    </w:p>
    <w:p w14:paraId="192EDBF7" w14:textId="4AF51D5E" w:rsidR="00CE3B35" w:rsidRDefault="00CE3B35" w:rsidP="00CE3B35">
      <w:pPr>
        <w:pStyle w:val="Prrafodelista"/>
        <w:numPr>
          <w:ilvl w:val="0"/>
          <w:numId w:val="9"/>
        </w:numPr>
        <w:jc w:val="both"/>
        <w:rPr>
          <w:rFonts w:ascii="gobCL" w:eastAsia="Calibri" w:hAnsi="gobCL" w:cs="Calibri"/>
        </w:rPr>
      </w:pPr>
      <w:r w:rsidRPr="00CE3B35">
        <w:rPr>
          <w:rFonts w:ascii="gobCL" w:eastAsia="Calibri" w:hAnsi="gobCL" w:cs="Calibri"/>
        </w:rPr>
        <w:t xml:space="preserve">¿El elegir y solicitar asistencia vía </w:t>
      </w:r>
      <w:proofErr w:type="spellStart"/>
      <w:r w:rsidRPr="00CE3B35">
        <w:rPr>
          <w:rFonts w:ascii="gobCL" w:eastAsia="Calibri" w:hAnsi="gobCL" w:cs="Calibri"/>
        </w:rPr>
        <w:t>streaming</w:t>
      </w:r>
      <w:proofErr w:type="spellEnd"/>
      <w:r w:rsidRPr="00CE3B35">
        <w:rPr>
          <w:rFonts w:ascii="gobCL" w:eastAsia="Calibri" w:hAnsi="gobCL" w:cs="Calibri"/>
        </w:rPr>
        <w:t xml:space="preserve"> el día de apertura de antecedentes y sobres ante la Subsecretaría de Pesca y Acuicultura implica necesariamente renunciar a poder asistir presencialmente? ¿O bien, solicitándose la asistencia remota y online, puede posteriormente asistirse presencialmente?</w:t>
      </w:r>
    </w:p>
    <w:p w14:paraId="66C85FBD" w14:textId="77777777" w:rsidR="00054BE7" w:rsidRDefault="00054BE7" w:rsidP="00054BE7">
      <w:pPr>
        <w:jc w:val="both"/>
        <w:rPr>
          <w:rFonts w:ascii="gobCL" w:eastAsia="Calibri" w:hAnsi="gobCL" w:cs="Calibri"/>
        </w:rPr>
      </w:pPr>
    </w:p>
    <w:p w14:paraId="29337912" w14:textId="5CA549BF" w:rsidR="00054BE7" w:rsidRPr="00054BE7" w:rsidRDefault="00054BE7" w:rsidP="00054BE7">
      <w:pPr>
        <w:spacing w:line="240" w:lineRule="auto"/>
        <w:ind w:firstLine="708"/>
        <w:jc w:val="both"/>
        <w:rPr>
          <w:rFonts w:ascii="gobCL" w:hAnsi="gobCL"/>
          <w:b/>
          <w:color w:val="2F5496" w:themeColor="accent1" w:themeShade="BF"/>
        </w:rPr>
      </w:pPr>
      <w:r w:rsidRPr="00054BE7">
        <w:rPr>
          <w:rFonts w:ascii="gobCL" w:hAnsi="gobCL"/>
          <w:b/>
          <w:color w:val="2F5496" w:themeColor="accent1" w:themeShade="BF"/>
        </w:rPr>
        <w:t xml:space="preserve">Efectivamente una vez hecha la elección vía </w:t>
      </w:r>
      <w:proofErr w:type="spellStart"/>
      <w:r w:rsidRPr="00054BE7">
        <w:rPr>
          <w:rFonts w:ascii="gobCL" w:hAnsi="gobCL"/>
          <w:b/>
          <w:color w:val="2F5496" w:themeColor="accent1" w:themeShade="BF"/>
        </w:rPr>
        <w:t>streming</w:t>
      </w:r>
      <w:proofErr w:type="spellEnd"/>
      <w:r w:rsidRPr="00054BE7">
        <w:rPr>
          <w:rFonts w:ascii="gobCL" w:hAnsi="gobCL"/>
          <w:b/>
          <w:color w:val="2F5496" w:themeColor="accent1" w:themeShade="BF"/>
        </w:rPr>
        <w:t xml:space="preserve"> se entiende que</w:t>
      </w:r>
      <w:r w:rsidR="00F203E1">
        <w:rPr>
          <w:rFonts w:ascii="gobCL" w:hAnsi="gobCL"/>
          <w:b/>
          <w:color w:val="2F5496" w:themeColor="accent1" w:themeShade="BF"/>
        </w:rPr>
        <w:t xml:space="preserve"> se</w:t>
      </w:r>
      <w:r w:rsidRPr="00054BE7">
        <w:rPr>
          <w:rFonts w:ascii="gobCL" w:hAnsi="gobCL"/>
          <w:b/>
          <w:color w:val="2F5496" w:themeColor="accent1" w:themeShade="BF"/>
        </w:rPr>
        <w:t xml:space="preserve"> renuncia a la presencialidad.</w:t>
      </w:r>
    </w:p>
    <w:p w14:paraId="35B960BB" w14:textId="77777777" w:rsidR="00CE3B35" w:rsidRPr="00CE3B35" w:rsidRDefault="00CE3B35" w:rsidP="00CE3B35">
      <w:pPr>
        <w:jc w:val="both"/>
        <w:rPr>
          <w:rFonts w:ascii="gobCL" w:eastAsia="Calibri" w:hAnsi="gobCL" w:cs="Calibri"/>
          <w:lang w:eastAsia="es-CL"/>
        </w:rPr>
      </w:pPr>
    </w:p>
    <w:p w14:paraId="23C0C325" w14:textId="52C3C813" w:rsidR="00CE3B35" w:rsidRPr="00571177" w:rsidRDefault="00CE3B35" w:rsidP="00571177">
      <w:pPr>
        <w:pStyle w:val="Prrafodelista"/>
        <w:numPr>
          <w:ilvl w:val="0"/>
          <w:numId w:val="9"/>
        </w:numPr>
        <w:jc w:val="both"/>
        <w:rPr>
          <w:rFonts w:ascii="gobCL" w:hAnsi="gobCL"/>
          <w:lang w:eastAsia="en-US"/>
        </w:rPr>
      </w:pPr>
      <w:r w:rsidRPr="00571177">
        <w:rPr>
          <w:rFonts w:ascii="gobCL" w:hAnsi="gobCL"/>
          <w:lang w:eastAsia="en-US"/>
        </w:rPr>
        <w:t xml:space="preserve">¿Es necesario, al momento de entregar los sobres </w:t>
      </w:r>
      <w:proofErr w:type="spellStart"/>
      <w:r w:rsidRPr="00571177">
        <w:rPr>
          <w:rFonts w:ascii="gobCL" w:hAnsi="gobCL"/>
          <w:lang w:eastAsia="en-US"/>
        </w:rPr>
        <w:t>N°</w:t>
      </w:r>
      <w:proofErr w:type="spellEnd"/>
      <w:r w:rsidRPr="00571177">
        <w:rPr>
          <w:rFonts w:ascii="gobCL" w:hAnsi="gobCL"/>
          <w:lang w:eastAsia="en-US"/>
        </w:rPr>
        <w:t xml:space="preserve"> 1, </w:t>
      </w:r>
      <w:proofErr w:type="spellStart"/>
      <w:r w:rsidR="005F6BFA" w:rsidRPr="00571177">
        <w:rPr>
          <w:rFonts w:ascii="gobCL" w:hAnsi="gobCL"/>
        </w:rPr>
        <w:t>N°</w:t>
      </w:r>
      <w:proofErr w:type="spellEnd"/>
      <w:r w:rsidR="005F6BFA" w:rsidRPr="00571177">
        <w:rPr>
          <w:rFonts w:ascii="gobCL" w:hAnsi="gobCL"/>
        </w:rPr>
        <w:t xml:space="preserve"> 2 y </w:t>
      </w:r>
      <w:proofErr w:type="spellStart"/>
      <w:r w:rsidR="005F6BFA" w:rsidRPr="00571177">
        <w:rPr>
          <w:rFonts w:ascii="gobCL" w:hAnsi="gobCL"/>
        </w:rPr>
        <w:t>N°</w:t>
      </w:r>
      <w:proofErr w:type="spellEnd"/>
      <w:r w:rsidR="005F6BFA" w:rsidRPr="00571177">
        <w:rPr>
          <w:rFonts w:ascii="gobCL" w:hAnsi="gobCL"/>
        </w:rPr>
        <w:t xml:space="preserve"> 3 sobre antecedentes administrativos, propuesta económica y desempate, presentar también una carta conductora en que el oferente (debidamente individualizado) indique estar acompañando dicha documentación </w:t>
      </w:r>
      <w:proofErr w:type="gramStart"/>
      <w:r w:rsidR="005F6BFA" w:rsidRPr="00571177">
        <w:rPr>
          <w:rFonts w:ascii="gobCL" w:hAnsi="gobCL"/>
        </w:rPr>
        <w:t>en relación al</w:t>
      </w:r>
      <w:proofErr w:type="gramEnd"/>
      <w:r w:rsidR="005F6BFA" w:rsidRPr="00571177">
        <w:rPr>
          <w:rFonts w:ascii="gobCL" w:hAnsi="gobCL"/>
        </w:rPr>
        <w:t xml:space="preserve"> recurso hidrobiológico, ¿unidad de pesquería y la resolución determinada que aprobó las bases de licitación?</w:t>
      </w:r>
      <w:r w:rsidRPr="00571177">
        <w:rPr>
          <w:rFonts w:ascii="gobCL" w:hAnsi="gobCL"/>
          <w:lang w:eastAsia="en-US"/>
        </w:rPr>
        <w:t xml:space="preserve"> Consulto, porque no se encuentra expresamente establecido en las bases.</w:t>
      </w:r>
    </w:p>
    <w:p w14:paraId="116B6ECB" w14:textId="77777777" w:rsidR="00CE3B35" w:rsidRPr="008426B4" w:rsidRDefault="00CE3B35" w:rsidP="008426B4">
      <w:pPr>
        <w:spacing w:after="0" w:line="240" w:lineRule="auto"/>
        <w:jc w:val="both"/>
        <w:rPr>
          <w:rFonts w:ascii="gobCL" w:hAnsi="gobCL"/>
        </w:rPr>
      </w:pPr>
    </w:p>
    <w:p w14:paraId="717B6B45" w14:textId="3FEEEAAE" w:rsidR="00CE3B35" w:rsidRDefault="00CE3B35" w:rsidP="00D127B2">
      <w:pPr>
        <w:spacing w:line="240" w:lineRule="auto"/>
        <w:ind w:firstLine="708"/>
        <w:jc w:val="both"/>
        <w:rPr>
          <w:rFonts w:ascii="gobCL" w:hAnsi="gobCL"/>
          <w:b/>
          <w:color w:val="2F5496" w:themeColor="accent1" w:themeShade="BF"/>
        </w:rPr>
      </w:pPr>
      <w:r w:rsidRPr="008426B4">
        <w:rPr>
          <w:rFonts w:ascii="gobCL" w:hAnsi="gobCL"/>
          <w:b/>
          <w:color w:val="2F5496" w:themeColor="accent1" w:themeShade="BF"/>
        </w:rPr>
        <w:t xml:space="preserve">La carta conductora no es requisito de bases, sin perjuicio de su recomendación para la buena identificación de las subastas. </w:t>
      </w:r>
    </w:p>
    <w:p w14:paraId="0D70C843" w14:textId="44371055" w:rsidR="00CE3B35" w:rsidRDefault="00CE3B35" w:rsidP="00CE3B35">
      <w:pPr>
        <w:spacing w:after="0" w:line="240" w:lineRule="auto"/>
        <w:jc w:val="both"/>
        <w:rPr>
          <w:rFonts w:ascii="gobCL" w:hAnsi="gobCL"/>
        </w:rPr>
      </w:pPr>
      <w:r>
        <w:rPr>
          <w:rFonts w:ascii="gobCL" w:hAnsi="gobCL"/>
        </w:rPr>
        <w:t xml:space="preserve">4. </w:t>
      </w:r>
      <w:r w:rsidRPr="00CE3B35">
        <w:rPr>
          <w:rFonts w:ascii="gobCL" w:hAnsi="gobCL"/>
        </w:rPr>
        <w:t>Legalmente si nos adjudicamos la subasta por la cuota por los próximos 10 años, si por alguna razón decidimos desistir de la cuota adjudicada al año número 5, ¿Existe alguna multa o similar por desistir?</w:t>
      </w:r>
    </w:p>
    <w:p w14:paraId="50B7FBA1" w14:textId="77777777" w:rsidR="00571177" w:rsidRDefault="00571177" w:rsidP="00CE3B35">
      <w:pPr>
        <w:spacing w:after="0" w:line="240" w:lineRule="auto"/>
        <w:jc w:val="both"/>
        <w:rPr>
          <w:rFonts w:ascii="gobCL" w:hAnsi="gobCL"/>
        </w:rPr>
      </w:pPr>
    </w:p>
    <w:p w14:paraId="618F82B6" w14:textId="0E756590" w:rsidR="00571177" w:rsidRPr="00571177" w:rsidRDefault="00571177" w:rsidP="00D127B2">
      <w:pPr>
        <w:spacing w:line="240" w:lineRule="auto"/>
        <w:ind w:firstLine="708"/>
        <w:jc w:val="both"/>
        <w:rPr>
          <w:rFonts w:ascii="gobCL" w:hAnsi="gobCL"/>
          <w:b/>
          <w:color w:val="2F5496" w:themeColor="accent1" w:themeShade="BF"/>
        </w:rPr>
      </w:pPr>
      <w:r w:rsidRPr="00571177">
        <w:rPr>
          <w:rFonts w:ascii="gobCL" w:hAnsi="gobCL"/>
          <w:b/>
          <w:color w:val="2F5496" w:themeColor="accent1" w:themeShade="BF"/>
        </w:rPr>
        <w:t>La sanción, es que no se podría postular al lote en la nueva subasta que se da origen por dicha renuncia.</w:t>
      </w:r>
    </w:p>
    <w:p w14:paraId="5C5E4CD6" w14:textId="77777777" w:rsidR="00CE3B35" w:rsidRPr="00CE3B35" w:rsidRDefault="00CE3B35" w:rsidP="00CE3B35">
      <w:pPr>
        <w:spacing w:after="0" w:line="240" w:lineRule="auto"/>
        <w:jc w:val="both"/>
        <w:rPr>
          <w:rFonts w:ascii="gobCL" w:hAnsi="gobCL"/>
        </w:rPr>
      </w:pPr>
    </w:p>
    <w:p w14:paraId="3E3153EE" w14:textId="0CB61E71" w:rsidR="00CE3B35" w:rsidRDefault="00F203E1" w:rsidP="00CE3B35">
      <w:pPr>
        <w:spacing w:after="0" w:line="240" w:lineRule="auto"/>
        <w:jc w:val="both"/>
        <w:rPr>
          <w:rFonts w:ascii="gobCL" w:hAnsi="gobCL"/>
        </w:rPr>
      </w:pPr>
      <w:r>
        <w:rPr>
          <w:rFonts w:ascii="gobCL" w:hAnsi="gobCL"/>
        </w:rPr>
        <w:t xml:space="preserve">5. </w:t>
      </w:r>
      <w:r w:rsidR="00571177" w:rsidRPr="00CE3B35">
        <w:rPr>
          <w:rFonts w:ascii="gobCL" w:hAnsi="gobCL"/>
        </w:rPr>
        <w:t>¿La oferta por cada lote, es por el monto total por los 10 años que dura la cuota?</w:t>
      </w:r>
    </w:p>
    <w:p w14:paraId="2DF49E0B" w14:textId="77777777" w:rsidR="00571177" w:rsidRDefault="00571177" w:rsidP="00CE3B35">
      <w:pPr>
        <w:spacing w:after="0" w:line="240" w:lineRule="auto"/>
        <w:jc w:val="both"/>
        <w:rPr>
          <w:rFonts w:ascii="gobCL" w:hAnsi="gobCL"/>
        </w:rPr>
      </w:pPr>
    </w:p>
    <w:p w14:paraId="5DEB201D" w14:textId="1F4D99E0" w:rsidR="00571177" w:rsidRPr="00571177" w:rsidRDefault="00571177" w:rsidP="00D127B2">
      <w:pPr>
        <w:spacing w:line="240" w:lineRule="auto"/>
        <w:ind w:firstLine="708"/>
        <w:jc w:val="both"/>
        <w:rPr>
          <w:rFonts w:ascii="gobCL" w:hAnsi="gobCL"/>
          <w:b/>
          <w:color w:val="2F5496" w:themeColor="accent1" w:themeShade="BF"/>
        </w:rPr>
      </w:pPr>
      <w:r w:rsidRPr="00571177">
        <w:rPr>
          <w:rFonts w:ascii="gobCL" w:hAnsi="gobCL"/>
          <w:b/>
          <w:color w:val="2F5496" w:themeColor="accent1" w:themeShade="BF"/>
        </w:rPr>
        <w:t xml:space="preserve">Efectivamente la oferta es por el monto total de 10 años, la que se divide en </w:t>
      </w:r>
      <w:r>
        <w:rPr>
          <w:rFonts w:ascii="gobCL" w:hAnsi="gobCL"/>
          <w:b/>
          <w:color w:val="2F5496" w:themeColor="accent1" w:themeShade="BF"/>
        </w:rPr>
        <w:t>partes</w:t>
      </w:r>
      <w:r w:rsidRPr="00571177">
        <w:rPr>
          <w:rFonts w:ascii="gobCL" w:hAnsi="gobCL"/>
          <w:b/>
          <w:color w:val="2F5496" w:themeColor="accent1" w:themeShade="BF"/>
        </w:rPr>
        <w:t xml:space="preserve"> iguales.</w:t>
      </w:r>
    </w:p>
    <w:p w14:paraId="2520F79F" w14:textId="77777777" w:rsidR="00571177" w:rsidRPr="00CE3B35" w:rsidRDefault="00571177" w:rsidP="00CE3B35">
      <w:pPr>
        <w:spacing w:after="0" w:line="240" w:lineRule="auto"/>
        <w:jc w:val="both"/>
        <w:rPr>
          <w:rFonts w:ascii="gobCL" w:hAnsi="gobCL"/>
        </w:rPr>
      </w:pPr>
    </w:p>
    <w:p w14:paraId="60DFFF77" w14:textId="77777777" w:rsidR="00CE3B35" w:rsidRDefault="00CE3B35" w:rsidP="00CE3B35">
      <w:pPr>
        <w:spacing w:after="0" w:line="240" w:lineRule="auto"/>
        <w:jc w:val="both"/>
        <w:rPr>
          <w:rFonts w:ascii="gobCL" w:hAnsi="gobCL"/>
        </w:rPr>
      </w:pPr>
    </w:p>
    <w:p w14:paraId="76E1DAF4" w14:textId="77777777" w:rsidR="00F203E1" w:rsidRDefault="00F203E1" w:rsidP="00CE3B35">
      <w:pPr>
        <w:spacing w:after="0" w:line="240" w:lineRule="auto"/>
        <w:jc w:val="both"/>
        <w:rPr>
          <w:rFonts w:ascii="gobCL" w:hAnsi="gobCL"/>
        </w:rPr>
      </w:pPr>
    </w:p>
    <w:p w14:paraId="10900458" w14:textId="77777777" w:rsidR="00F203E1" w:rsidRPr="00CE3B35" w:rsidRDefault="00F203E1" w:rsidP="00CE3B35">
      <w:pPr>
        <w:spacing w:after="0" w:line="240" w:lineRule="auto"/>
        <w:jc w:val="both"/>
        <w:rPr>
          <w:rFonts w:ascii="gobCL" w:hAnsi="gobCL"/>
        </w:rPr>
      </w:pPr>
    </w:p>
    <w:p w14:paraId="387DABDC" w14:textId="2A204B38" w:rsidR="00CE3B35" w:rsidRPr="008426B4" w:rsidRDefault="00F203E1" w:rsidP="008426B4">
      <w:pPr>
        <w:spacing w:after="0" w:line="240" w:lineRule="auto"/>
        <w:jc w:val="both"/>
        <w:rPr>
          <w:rFonts w:ascii="gobCL" w:hAnsi="gobCL"/>
        </w:rPr>
      </w:pPr>
      <w:r>
        <w:rPr>
          <w:rFonts w:ascii="gobCL" w:hAnsi="gobCL"/>
        </w:rPr>
        <w:lastRenderedPageBreak/>
        <w:t>6</w:t>
      </w:r>
      <w:r w:rsidR="00CE3B35" w:rsidRPr="008426B4">
        <w:rPr>
          <w:rFonts w:ascii="gobCL" w:hAnsi="gobCL"/>
        </w:rPr>
        <w:t xml:space="preserve">. Proyecta </w:t>
      </w:r>
      <w:proofErr w:type="spellStart"/>
      <w:r w:rsidR="00CE3B35" w:rsidRPr="008426B4">
        <w:rPr>
          <w:rFonts w:ascii="gobCL" w:hAnsi="gobCL"/>
        </w:rPr>
        <w:t>Corp</w:t>
      </w:r>
      <w:proofErr w:type="spellEnd"/>
      <w:r w:rsidR="00CE3B35" w:rsidRPr="008426B4">
        <w:rPr>
          <w:rFonts w:ascii="gobCL" w:hAnsi="gobCL"/>
        </w:rPr>
        <w:t xml:space="preserve"> no cuenta con embarcaciones para realizar la pesca de e</w:t>
      </w:r>
      <w:r w:rsidR="005F6BFA" w:rsidRPr="008426B4">
        <w:rPr>
          <w:rFonts w:ascii="gobCL" w:hAnsi="gobCL"/>
        </w:rPr>
        <w:t>s</w:t>
      </w:r>
      <w:r w:rsidR="00CE3B35" w:rsidRPr="008426B4">
        <w:rPr>
          <w:rFonts w:ascii="gobCL" w:hAnsi="gobCL"/>
        </w:rPr>
        <w:t xml:space="preserve">ta cuota, pero si tenemos pescadores que la pueden realizar. ¿Es necesario que Proyecta </w:t>
      </w:r>
      <w:proofErr w:type="spellStart"/>
      <w:r w:rsidR="00CE3B35" w:rsidRPr="008426B4">
        <w:rPr>
          <w:rFonts w:ascii="gobCL" w:hAnsi="gobCL"/>
        </w:rPr>
        <w:t>Corp</w:t>
      </w:r>
      <w:proofErr w:type="spellEnd"/>
      <w:r w:rsidR="00CE3B35" w:rsidRPr="008426B4">
        <w:rPr>
          <w:rFonts w:ascii="gobCL" w:hAnsi="gobCL"/>
        </w:rPr>
        <w:t xml:space="preserve"> cuente con un contrato de “pesca” con el pescador artesanal para poder adjudicarse la cuota?</w:t>
      </w:r>
    </w:p>
    <w:p w14:paraId="14BBA657" w14:textId="77777777" w:rsidR="005F6BFA" w:rsidRDefault="005F6BFA" w:rsidP="00CE3B35">
      <w:pPr>
        <w:spacing w:after="0" w:line="240" w:lineRule="auto"/>
        <w:jc w:val="both"/>
        <w:rPr>
          <w:rFonts w:ascii="gobCL" w:hAnsi="gobCL"/>
        </w:rPr>
      </w:pPr>
    </w:p>
    <w:p w14:paraId="74856651" w14:textId="0CC4D368" w:rsidR="005F6BFA" w:rsidRPr="00BA452E" w:rsidRDefault="005F6BFA" w:rsidP="00D127B2">
      <w:pPr>
        <w:spacing w:line="240" w:lineRule="auto"/>
        <w:ind w:firstLine="708"/>
        <w:jc w:val="both"/>
        <w:rPr>
          <w:rFonts w:ascii="gobCL" w:hAnsi="gobCL"/>
          <w:b/>
          <w:color w:val="2F5496" w:themeColor="accent1" w:themeShade="BF"/>
        </w:rPr>
      </w:pPr>
      <w:r w:rsidRPr="00BA452E">
        <w:rPr>
          <w:rFonts w:ascii="gobCL" w:hAnsi="gobCL"/>
          <w:b/>
          <w:color w:val="2F5496" w:themeColor="accent1" w:themeShade="BF"/>
        </w:rPr>
        <w:t>La pregunta no dice relación con aclaraciones de bases. La consulta dice relación con operatoria del permiso, lo que es un asunto entre privados.</w:t>
      </w:r>
    </w:p>
    <w:p w14:paraId="7E86E883" w14:textId="77777777" w:rsidR="00BA452E" w:rsidRPr="00CE3B35" w:rsidRDefault="00BA452E" w:rsidP="00CE3B35">
      <w:pPr>
        <w:spacing w:after="0" w:line="240" w:lineRule="auto"/>
        <w:jc w:val="both"/>
        <w:rPr>
          <w:rFonts w:ascii="gobCL" w:hAnsi="gobCL"/>
        </w:rPr>
      </w:pPr>
    </w:p>
    <w:p w14:paraId="305F90C5" w14:textId="1A7DEAC1" w:rsidR="00CE3B35" w:rsidRDefault="00F203E1" w:rsidP="00CE3B35">
      <w:pPr>
        <w:spacing w:after="0" w:line="240" w:lineRule="auto"/>
        <w:jc w:val="both"/>
        <w:rPr>
          <w:rFonts w:ascii="gobCL" w:hAnsi="gobCL"/>
        </w:rPr>
      </w:pPr>
      <w:r>
        <w:rPr>
          <w:rFonts w:ascii="gobCL" w:hAnsi="gobCL"/>
        </w:rPr>
        <w:t>7</w:t>
      </w:r>
      <w:r w:rsidR="00CE3B35">
        <w:rPr>
          <w:rFonts w:ascii="gobCL" w:hAnsi="gobCL"/>
        </w:rPr>
        <w:t xml:space="preserve">. </w:t>
      </w:r>
      <w:r w:rsidR="00CE3B35" w:rsidRPr="00CE3B35">
        <w:rPr>
          <w:rFonts w:ascii="gobCL" w:hAnsi="gobCL"/>
        </w:rPr>
        <w:t>El monto del Vale vista es en UTM. ¿A que equivalencia en pesos se debe expresar?</w:t>
      </w:r>
    </w:p>
    <w:p w14:paraId="071E1453" w14:textId="77777777" w:rsidR="006F3983" w:rsidRPr="00CE3B35" w:rsidRDefault="006F3983" w:rsidP="00CE3B35">
      <w:pPr>
        <w:spacing w:after="0" w:line="240" w:lineRule="auto"/>
        <w:jc w:val="both"/>
        <w:rPr>
          <w:rFonts w:ascii="gobCL" w:hAnsi="gobCL"/>
        </w:rPr>
      </w:pPr>
    </w:p>
    <w:p w14:paraId="5D419601" w14:textId="4CA72399" w:rsidR="00CE3B35" w:rsidRPr="006F3983" w:rsidRDefault="006F3983" w:rsidP="006F3983">
      <w:pPr>
        <w:spacing w:line="240" w:lineRule="auto"/>
        <w:ind w:firstLine="708"/>
        <w:jc w:val="both"/>
        <w:rPr>
          <w:rFonts w:ascii="gobCL" w:hAnsi="gobCL"/>
          <w:b/>
          <w:color w:val="2F5496" w:themeColor="accent1" w:themeShade="BF"/>
        </w:rPr>
      </w:pPr>
      <w:r w:rsidRPr="006F3983">
        <w:rPr>
          <w:rFonts w:ascii="gobCL" w:hAnsi="gobCL"/>
          <w:b/>
          <w:color w:val="2F5496" w:themeColor="accent1" w:themeShade="BF"/>
        </w:rPr>
        <w:t>De acuerdo con lo indicado en el punto 9</w:t>
      </w:r>
      <w:r>
        <w:rPr>
          <w:rFonts w:ascii="gobCL" w:hAnsi="gobCL"/>
          <w:b/>
          <w:color w:val="2F5496" w:themeColor="accent1" w:themeShade="BF"/>
        </w:rPr>
        <w:t>°</w:t>
      </w:r>
      <w:r w:rsidRPr="006F3983">
        <w:rPr>
          <w:rFonts w:ascii="gobCL" w:hAnsi="gobCL"/>
          <w:b/>
          <w:color w:val="2F5496" w:themeColor="accent1" w:themeShade="BF"/>
        </w:rPr>
        <w:t xml:space="preserve"> de las bases, la garantía de seriedad de la oferta deberá presentarse en su equivalente en pesos, considerando el valor de la Unidad Tributaria Mensual (U.T.M.) al mes de noviembre de 2023.</w:t>
      </w:r>
    </w:p>
    <w:p w14:paraId="4E7E7836" w14:textId="77777777" w:rsidR="006F3983" w:rsidRPr="00CE3B35" w:rsidRDefault="006F3983" w:rsidP="00CE3B35">
      <w:pPr>
        <w:spacing w:after="0" w:line="240" w:lineRule="auto"/>
        <w:jc w:val="both"/>
        <w:rPr>
          <w:rFonts w:ascii="gobCL" w:hAnsi="gobCL"/>
        </w:rPr>
      </w:pPr>
    </w:p>
    <w:p w14:paraId="7F5BE3CF" w14:textId="008C1112" w:rsidR="00CE3B35" w:rsidRDefault="00F203E1" w:rsidP="00CE3B35">
      <w:pPr>
        <w:spacing w:after="0" w:line="240" w:lineRule="auto"/>
        <w:jc w:val="both"/>
        <w:rPr>
          <w:rFonts w:ascii="gobCL" w:hAnsi="gobCL"/>
        </w:rPr>
      </w:pPr>
      <w:r>
        <w:rPr>
          <w:rFonts w:ascii="gobCL" w:hAnsi="gobCL"/>
        </w:rPr>
        <w:t>8</w:t>
      </w:r>
      <w:r w:rsidR="00CE3B35">
        <w:rPr>
          <w:rFonts w:ascii="gobCL" w:hAnsi="gobCL"/>
        </w:rPr>
        <w:t xml:space="preserve">. </w:t>
      </w:r>
      <w:r w:rsidR="00CE3B35" w:rsidRPr="00CE3B35">
        <w:rPr>
          <w:rFonts w:ascii="gobCL" w:hAnsi="gobCL"/>
        </w:rPr>
        <w:t>Indicar como se deben expresar las cifras (decimales) de la propuesta económica (punto o coma)</w:t>
      </w:r>
    </w:p>
    <w:p w14:paraId="77853234" w14:textId="77777777" w:rsidR="005F6BFA" w:rsidRDefault="005F6BFA" w:rsidP="00CE3B35">
      <w:pPr>
        <w:spacing w:after="0" w:line="240" w:lineRule="auto"/>
        <w:jc w:val="both"/>
        <w:rPr>
          <w:rFonts w:ascii="gobCL" w:hAnsi="gobCL"/>
        </w:rPr>
      </w:pPr>
    </w:p>
    <w:p w14:paraId="00364E63" w14:textId="0EE83772" w:rsidR="005F6BFA" w:rsidRPr="008426B4" w:rsidRDefault="005F6BFA" w:rsidP="00D127B2">
      <w:pPr>
        <w:spacing w:line="240" w:lineRule="auto"/>
        <w:ind w:firstLine="708"/>
        <w:jc w:val="both"/>
        <w:rPr>
          <w:rFonts w:ascii="gobCL" w:hAnsi="gobCL"/>
          <w:b/>
          <w:color w:val="2F5496" w:themeColor="accent1" w:themeShade="BF"/>
        </w:rPr>
      </w:pPr>
      <w:r w:rsidRPr="008426B4">
        <w:rPr>
          <w:rFonts w:ascii="gobCL" w:hAnsi="gobCL"/>
          <w:b/>
          <w:color w:val="2F5496" w:themeColor="accent1" w:themeShade="BF"/>
        </w:rPr>
        <w:t>Las cifras de decimales deben expresarse en coma.</w:t>
      </w:r>
    </w:p>
    <w:p w14:paraId="033F6B2C" w14:textId="77777777" w:rsidR="00CE3B35" w:rsidRPr="00CE3B35" w:rsidRDefault="00CE3B35" w:rsidP="00CE3B35">
      <w:pPr>
        <w:spacing w:after="0" w:line="240" w:lineRule="auto"/>
        <w:jc w:val="both"/>
        <w:rPr>
          <w:rFonts w:ascii="gobCL" w:hAnsi="gobCL"/>
        </w:rPr>
      </w:pPr>
    </w:p>
    <w:p w14:paraId="7FED7720" w14:textId="3D24DF94" w:rsidR="00CE3B35" w:rsidRDefault="00F203E1" w:rsidP="00CE3B35">
      <w:pPr>
        <w:spacing w:after="0" w:line="240" w:lineRule="auto"/>
        <w:jc w:val="both"/>
        <w:rPr>
          <w:rFonts w:ascii="gobCL" w:hAnsi="gobCL"/>
        </w:rPr>
      </w:pPr>
      <w:r>
        <w:rPr>
          <w:rFonts w:ascii="gobCL" w:hAnsi="gobCL"/>
        </w:rPr>
        <w:t>9</w:t>
      </w:r>
      <w:r w:rsidR="00CE3B35">
        <w:rPr>
          <w:rFonts w:ascii="gobCL" w:hAnsi="gobCL"/>
        </w:rPr>
        <w:t xml:space="preserve">. </w:t>
      </w:r>
      <w:r w:rsidR="00CE3B35" w:rsidRPr="00CE3B35">
        <w:rPr>
          <w:rFonts w:ascii="gobCL" w:hAnsi="gobCL"/>
        </w:rPr>
        <w:t>En caso de que el lote no se pueda adjudicar y usemos la misma garantía para otro, ¿Cuánta veces se puede repetir ese proceso?</w:t>
      </w:r>
    </w:p>
    <w:p w14:paraId="553178BC" w14:textId="77777777" w:rsidR="00BA452E" w:rsidRPr="00CE3B35" w:rsidRDefault="00BA452E" w:rsidP="00CE3B35">
      <w:pPr>
        <w:spacing w:after="0" w:line="240" w:lineRule="auto"/>
        <w:jc w:val="both"/>
        <w:rPr>
          <w:rFonts w:ascii="gobCL" w:hAnsi="gobCL"/>
        </w:rPr>
      </w:pPr>
    </w:p>
    <w:p w14:paraId="53FFFC56" w14:textId="366FC7A8" w:rsidR="00CE3B35" w:rsidRPr="00BA452E" w:rsidRDefault="00BA452E" w:rsidP="00D127B2">
      <w:pPr>
        <w:spacing w:line="240" w:lineRule="auto"/>
        <w:ind w:firstLine="708"/>
        <w:jc w:val="both"/>
        <w:rPr>
          <w:rFonts w:ascii="gobCL" w:hAnsi="gobCL"/>
          <w:b/>
          <w:color w:val="2F5496" w:themeColor="accent1" w:themeShade="BF"/>
        </w:rPr>
      </w:pPr>
      <w:r w:rsidRPr="00BA452E">
        <w:rPr>
          <w:rFonts w:ascii="gobCL" w:hAnsi="gobCL"/>
          <w:b/>
          <w:color w:val="2F5496" w:themeColor="accent1" w:themeShade="BF"/>
        </w:rPr>
        <w:t>Todas las veces que sea posible, mientras le quede saldo de garantía (</w:t>
      </w:r>
      <w:proofErr w:type="gramStart"/>
      <w:r w:rsidRPr="00BA452E">
        <w:rPr>
          <w:rFonts w:ascii="gobCL" w:hAnsi="gobCL"/>
          <w:b/>
          <w:color w:val="2F5496" w:themeColor="accent1" w:themeShade="BF"/>
        </w:rPr>
        <w:t>en caso que</w:t>
      </w:r>
      <w:proofErr w:type="gramEnd"/>
      <w:r w:rsidRPr="00BA452E">
        <w:rPr>
          <w:rFonts w:ascii="gobCL" w:hAnsi="gobCL"/>
          <w:b/>
          <w:color w:val="2F5496" w:themeColor="accent1" w:themeShade="BF"/>
        </w:rPr>
        <w:t xml:space="preserve"> se adjudique uno o </w:t>
      </w:r>
      <w:r w:rsidR="006F3983" w:rsidRPr="00BA452E">
        <w:rPr>
          <w:rFonts w:ascii="gobCL" w:hAnsi="gobCL"/>
          <w:b/>
          <w:color w:val="2F5496" w:themeColor="accent1" w:themeShade="BF"/>
        </w:rPr>
        <w:t>más</w:t>
      </w:r>
      <w:r w:rsidRPr="00BA452E">
        <w:rPr>
          <w:rFonts w:ascii="gobCL" w:hAnsi="gobCL"/>
          <w:b/>
          <w:color w:val="2F5496" w:themeColor="accent1" w:themeShade="BF"/>
        </w:rPr>
        <w:t xml:space="preserve"> lotes), respetando que se no se adjudique </w:t>
      </w:r>
      <w:r w:rsidR="006F3983" w:rsidRPr="00BA452E">
        <w:rPr>
          <w:rFonts w:ascii="gobCL" w:hAnsi="gobCL"/>
          <w:b/>
          <w:color w:val="2F5496" w:themeColor="accent1" w:themeShade="BF"/>
        </w:rPr>
        <w:t>más</w:t>
      </w:r>
      <w:r w:rsidRPr="00BA452E">
        <w:rPr>
          <w:rFonts w:ascii="gobCL" w:hAnsi="gobCL"/>
          <w:b/>
          <w:color w:val="2F5496" w:themeColor="accent1" w:themeShade="BF"/>
        </w:rPr>
        <w:t xml:space="preserve"> del 50% del total a subastar para PEP y un 40% para LTP B.</w:t>
      </w:r>
    </w:p>
    <w:p w14:paraId="18CFC991" w14:textId="77777777" w:rsidR="00BA452E" w:rsidRPr="00CE3B35" w:rsidRDefault="00BA452E" w:rsidP="00CE3B35">
      <w:pPr>
        <w:spacing w:after="0" w:line="240" w:lineRule="auto"/>
        <w:jc w:val="both"/>
        <w:rPr>
          <w:rFonts w:ascii="gobCL" w:hAnsi="gobCL"/>
        </w:rPr>
      </w:pPr>
    </w:p>
    <w:p w14:paraId="03BA06E7" w14:textId="4C981D82" w:rsidR="00CE3B35" w:rsidRPr="00CE3B35" w:rsidRDefault="00F203E1" w:rsidP="00CE3B35">
      <w:pPr>
        <w:spacing w:after="0" w:line="240" w:lineRule="auto"/>
        <w:jc w:val="both"/>
        <w:rPr>
          <w:rFonts w:ascii="gobCL" w:hAnsi="gobCL"/>
        </w:rPr>
      </w:pPr>
      <w:proofErr w:type="gramStart"/>
      <w:r>
        <w:rPr>
          <w:rFonts w:ascii="gobCL" w:hAnsi="gobCL"/>
        </w:rPr>
        <w:t xml:space="preserve">10 </w:t>
      </w:r>
      <w:r w:rsidR="00CE3B35">
        <w:rPr>
          <w:rFonts w:ascii="gobCL" w:hAnsi="gobCL"/>
        </w:rPr>
        <w:t>.</w:t>
      </w:r>
      <w:proofErr w:type="gramEnd"/>
      <w:r w:rsidR="00CE3B35">
        <w:rPr>
          <w:rFonts w:ascii="gobCL" w:hAnsi="gobCL"/>
        </w:rPr>
        <w:t xml:space="preserve"> </w:t>
      </w:r>
      <w:r w:rsidR="00CE3B35" w:rsidRPr="00CE3B35">
        <w:rPr>
          <w:rFonts w:ascii="gobCL" w:hAnsi="gobCL"/>
        </w:rPr>
        <w:t>¿La cuota por 10 años, se puede asignar a embarcaciones-naves diferentes anualmente? ¿Se puede negociar con otra embarcación certificada por la normativa para que pueda extraer los lotes ya adjudicados?</w:t>
      </w:r>
    </w:p>
    <w:p w14:paraId="16D4E02E" w14:textId="77777777" w:rsidR="00BA452E" w:rsidRDefault="00BA452E" w:rsidP="00BA452E">
      <w:pPr>
        <w:spacing w:line="240" w:lineRule="auto"/>
        <w:ind w:firstLine="360"/>
        <w:jc w:val="both"/>
        <w:rPr>
          <w:rFonts w:ascii="gobCL" w:hAnsi="gobCL"/>
          <w:b/>
          <w:color w:val="2F5496" w:themeColor="accent1" w:themeShade="BF"/>
        </w:rPr>
      </w:pPr>
    </w:p>
    <w:p w14:paraId="60FBB38F" w14:textId="332468CA" w:rsidR="00BA452E" w:rsidRPr="00BA452E" w:rsidRDefault="00BA452E" w:rsidP="00D127B2">
      <w:pPr>
        <w:spacing w:line="240" w:lineRule="auto"/>
        <w:ind w:firstLine="708"/>
        <w:jc w:val="both"/>
        <w:rPr>
          <w:rFonts w:ascii="gobCL" w:hAnsi="gobCL"/>
          <w:b/>
          <w:color w:val="2F5496" w:themeColor="accent1" w:themeShade="BF"/>
        </w:rPr>
      </w:pPr>
      <w:r w:rsidRPr="00BA452E">
        <w:rPr>
          <w:rFonts w:ascii="gobCL" w:hAnsi="gobCL"/>
          <w:b/>
          <w:color w:val="2F5496" w:themeColor="accent1" w:themeShade="BF"/>
        </w:rPr>
        <w:t>La pregunta no dice relación con aclaraciones de bases. La consulta dice relación con operatoria del permiso, lo que es un asunto entre privados.</w:t>
      </w:r>
    </w:p>
    <w:p w14:paraId="5A8A427D" w14:textId="5660C28E" w:rsidR="00FA2AEA" w:rsidRDefault="00FA2AEA" w:rsidP="00FA2AEA">
      <w:pPr>
        <w:spacing w:after="0" w:line="240" w:lineRule="auto"/>
        <w:jc w:val="both"/>
        <w:rPr>
          <w:rFonts w:ascii="gobCL" w:hAnsi="gobCL"/>
        </w:rPr>
      </w:pPr>
      <w:r w:rsidRPr="00FA2AEA">
        <w:rPr>
          <w:rFonts w:ascii="gobCL" w:hAnsi="gobCL"/>
        </w:rPr>
        <w:t>1</w:t>
      </w:r>
      <w:r w:rsidR="00F203E1">
        <w:rPr>
          <w:rFonts w:ascii="gobCL" w:hAnsi="gobCL"/>
        </w:rPr>
        <w:t>1</w:t>
      </w:r>
      <w:r w:rsidRPr="00FA2AEA">
        <w:rPr>
          <w:rFonts w:ascii="gobCL" w:hAnsi="gobCL"/>
        </w:rPr>
        <w:t>. Me podrían aclarar, si en el sobre N°1</w:t>
      </w:r>
      <w:r w:rsidRPr="00FA2AEA">
        <w:rPr>
          <w:rFonts w:ascii="Calibri" w:hAnsi="Calibri" w:cs="Calibri"/>
        </w:rPr>
        <w:t> </w:t>
      </w:r>
      <w:r w:rsidRPr="00FA2AEA">
        <w:rPr>
          <w:rFonts w:ascii="gobCL" w:hAnsi="gobCL"/>
        </w:rPr>
        <w:t>"Antecedentes Administrativos", tratándose de una persona jurídica, se debe acompañar, también, los IVA de los últimos 12 meses, autorizados ante notario.</w:t>
      </w:r>
      <w:r w:rsidRPr="00FA2AEA">
        <w:t xml:space="preserve"> </w:t>
      </w:r>
      <w:r>
        <w:t>(</w:t>
      </w:r>
      <w:r w:rsidRPr="00FA2AEA">
        <w:rPr>
          <w:rFonts w:ascii="gobCL" w:hAnsi="gobCL"/>
        </w:rPr>
        <w:t xml:space="preserve">Aclaración bases de </w:t>
      </w:r>
      <w:proofErr w:type="gramStart"/>
      <w:r w:rsidRPr="00FA2AEA">
        <w:rPr>
          <w:rFonts w:ascii="gobCL" w:hAnsi="gobCL"/>
        </w:rPr>
        <w:t>subasta  PEP</w:t>
      </w:r>
      <w:proofErr w:type="gramEnd"/>
      <w:r w:rsidRPr="00FA2AEA">
        <w:rPr>
          <w:rFonts w:ascii="gobCL" w:hAnsi="gobCL"/>
        </w:rPr>
        <w:t xml:space="preserve"> recurso Bacalao de profundidad.</w:t>
      </w:r>
      <w:r>
        <w:rPr>
          <w:rFonts w:ascii="gobCL" w:hAnsi="gobCL"/>
        </w:rPr>
        <w:t>)</w:t>
      </w:r>
    </w:p>
    <w:p w14:paraId="53529145" w14:textId="77777777" w:rsidR="00FA2AEA" w:rsidRPr="00FA2AEA" w:rsidRDefault="00FA2AEA" w:rsidP="00FA2AEA">
      <w:pPr>
        <w:spacing w:line="240" w:lineRule="auto"/>
        <w:ind w:firstLine="360"/>
        <w:jc w:val="both"/>
        <w:rPr>
          <w:rFonts w:ascii="gobCL" w:hAnsi="gobCL"/>
          <w:b/>
          <w:color w:val="2F5496" w:themeColor="accent1" w:themeShade="BF"/>
        </w:rPr>
      </w:pPr>
    </w:p>
    <w:p w14:paraId="736C0126" w14:textId="521C645E" w:rsidR="00FA2AEA" w:rsidRDefault="00FA2AEA" w:rsidP="00FA2AEA">
      <w:pPr>
        <w:spacing w:line="240" w:lineRule="auto"/>
        <w:ind w:firstLine="360"/>
        <w:jc w:val="both"/>
        <w:rPr>
          <w:rFonts w:ascii="gobCL" w:hAnsi="gobCL"/>
          <w:b/>
          <w:color w:val="2F5496" w:themeColor="accent1" w:themeShade="BF"/>
        </w:rPr>
      </w:pPr>
      <w:r w:rsidRPr="00FA2AEA">
        <w:rPr>
          <w:rFonts w:ascii="gobCL" w:hAnsi="gobCL"/>
          <w:b/>
          <w:color w:val="2F5496" w:themeColor="accent1" w:themeShade="BF"/>
        </w:rPr>
        <w:t>Respecto de la consulta se debe tener presente que los IVA autorizados ante notario son exigencia de la subasta de merluza común por lotes renunciados de LTP B y no de la subasta de bacalao.</w:t>
      </w:r>
    </w:p>
    <w:p w14:paraId="02FAF1C9" w14:textId="77777777" w:rsidR="00AC4FDA" w:rsidRDefault="00AC4FDA" w:rsidP="00AC4FDA">
      <w:pPr>
        <w:spacing w:after="0" w:line="240" w:lineRule="auto"/>
        <w:jc w:val="both"/>
        <w:rPr>
          <w:rFonts w:ascii="gobCL" w:hAnsi="gobCL"/>
        </w:rPr>
      </w:pPr>
    </w:p>
    <w:p w14:paraId="3BF71D88" w14:textId="77777777" w:rsidR="00AC4FDA" w:rsidRDefault="00AC4FDA" w:rsidP="00AC4FDA">
      <w:pPr>
        <w:spacing w:after="0" w:line="240" w:lineRule="auto"/>
        <w:jc w:val="both"/>
        <w:rPr>
          <w:rFonts w:ascii="gobCL" w:hAnsi="gobCL"/>
        </w:rPr>
      </w:pPr>
    </w:p>
    <w:p w14:paraId="0C008615" w14:textId="77777777" w:rsidR="00AC4FDA" w:rsidRDefault="00AC4FDA" w:rsidP="00AC4FDA">
      <w:pPr>
        <w:spacing w:after="0" w:line="240" w:lineRule="auto"/>
        <w:jc w:val="both"/>
        <w:rPr>
          <w:rFonts w:ascii="gobCL" w:hAnsi="gobCL"/>
        </w:rPr>
      </w:pPr>
    </w:p>
    <w:p w14:paraId="12ADB080" w14:textId="77777777" w:rsidR="00AC4FDA" w:rsidRDefault="00AC4FDA" w:rsidP="00AC4FDA">
      <w:pPr>
        <w:spacing w:after="0" w:line="240" w:lineRule="auto"/>
        <w:jc w:val="both"/>
        <w:rPr>
          <w:rFonts w:ascii="gobCL" w:hAnsi="gobCL"/>
        </w:rPr>
      </w:pPr>
    </w:p>
    <w:p w14:paraId="6A368A8E" w14:textId="77777777" w:rsidR="00AC4FDA" w:rsidRDefault="00AC4FDA" w:rsidP="00AC4FDA">
      <w:pPr>
        <w:spacing w:after="0" w:line="240" w:lineRule="auto"/>
        <w:jc w:val="both"/>
        <w:rPr>
          <w:rFonts w:ascii="gobCL" w:hAnsi="gobCL"/>
        </w:rPr>
      </w:pPr>
    </w:p>
    <w:p w14:paraId="27FAA8CE" w14:textId="77777777" w:rsidR="00AC4FDA" w:rsidRDefault="00AC4FDA" w:rsidP="00AC4FDA">
      <w:pPr>
        <w:spacing w:after="0" w:line="240" w:lineRule="auto"/>
        <w:jc w:val="both"/>
        <w:rPr>
          <w:rFonts w:ascii="gobCL" w:hAnsi="gobCL"/>
        </w:rPr>
      </w:pPr>
    </w:p>
    <w:p w14:paraId="3C54B664" w14:textId="77777777" w:rsidR="00AC4FDA" w:rsidRDefault="00AC4FDA" w:rsidP="00AC4FDA">
      <w:pPr>
        <w:spacing w:after="0" w:line="240" w:lineRule="auto"/>
        <w:jc w:val="both"/>
        <w:rPr>
          <w:rFonts w:ascii="gobCL" w:hAnsi="gobCL"/>
        </w:rPr>
      </w:pPr>
    </w:p>
    <w:p w14:paraId="4559CF62" w14:textId="77777777" w:rsidR="00AC4FDA" w:rsidRDefault="00AC4FDA" w:rsidP="00AC4FDA">
      <w:pPr>
        <w:spacing w:after="0" w:line="240" w:lineRule="auto"/>
        <w:jc w:val="both"/>
        <w:rPr>
          <w:rFonts w:ascii="gobCL" w:hAnsi="gobCL"/>
        </w:rPr>
      </w:pPr>
    </w:p>
    <w:p w14:paraId="10F5A68C" w14:textId="061D12F7" w:rsidR="00AC4FDA" w:rsidRPr="00AC4FDA" w:rsidRDefault="00AC4FDA" w:rsidP="00AC4FDA">
      <w:pPr>
        <w:spacing w:after="0" w:line="240" w:lineRule="auto"/>
        <w:jc w:val="both"/>
        <w:rPr>
          <w:rFonts w:ascii="gobCL" w:hAnsi="gobCL"/>
        </w:rPr>
      </w:pPr>
      <w:r w:rsidRPr="00AC4FDA">
        <w:rPr>
          <w:rFonts w:ascii="gobCL" w:hAnsi="gobCL"/>
        </w:rPr>
        <w:lastRenderedPageBreak/>
        <w:t>1</w:t>
      </w:r>
      <w:r w:rsidR="00F203E1">
        <w:rPr>
          <w:rFonts w:ascii="gobCL" w:hAnsi="gobCL"/>
        </w:rPr>
        <w:t>2</w:t>
      </w:r>
      <w:r w:rsidRPr="00AC4FDA">
        <w:rPr>
          <w:rFonts w:ascii="gobCL" w:hAnsi="gobCL"/>
        </w:rPr>
        <w:t xml:space="preserve">. </w:t>
      </w:r>
      <w:r w:rsidRPr="00AC4FDA">
        <w:rPr>
          <w:rFonts w:ascii="gobCL" w:hAnsi="gobCL"/>
        </w:rPr>
        <w:t>Por el presente solicito aclaraciones en Subasta Pública de Permiso Extraordinario de Pesca de Bacalao de Profundidad, en el área licitada al sur del paralelo</w:t>
      </w:r>
      <w:r w:rsidRPr="00AC4FDA">
        <w:rPr>
          <w:rFonts w:ascii="Calibri" w:hAnsi="Calibri" w:cs="Calibri"/>
        </w:rPr>
        <w:t> </w:t>
      </w:r>
      <w:r w:rsidRPr="00AC4FDA">
        <w:rPr>
          <w:rFonts w:ascii="gobCL" w:hAnsi="gobCL"/>
        </w:rPr>
        <w:t>47 º</w:t>
      </w:r>
      <w:r w:rsidRPr="00AC4FDA">
        <w:rPr>
          <w:rFonts w:ascii="Calibri" w:hAnsi="Calibri" w:cs="Calibri"/>
        </w:rPr>
        <w:t> </w:t>
      </w:r>
      <w:r w:rsidRPr="00AC4FDA">
        <w:rPr>
          <w:rFonts w:ascii="gobCL" w:hAnsi="gobCL"/>
        </w:rPr>
        <w:t xml:space="preserve"> </w:t>
      </w:r>
      <w:r w:rsidRPr="00AC4FDA">
        <w:rPr>
          <w:rFonts w:ascii="Calibri" w:hAnsi="Calibri" w:cs="Calibri"/>
        </w:rPr>
        <w:t> </w:t>
      </w:r>
      <w:proofErr w:type="spellStart"/>
      <w:r w:rsidRPr="00AC4FDA">
        <w:rPr>
          <w:rFonts w:ascii="gobCL" w:hAnsi="gobCL"/>
        </w:rPr>
        <w:t>Ls</w:t>
      </w:r>
      <w:proofErr w:type="spellEnd"/>
      <w:r w:rsidRPr="00AC4FDA">
        <w:rPr>
          <w:rFonts w:ascii="gobCL" w:hAnsi="gobCL"/>
        </w:rPr>
        <w:t>. correspondiente al a</w:t>
      </w:r>
      <w:r w:rsidRPr="00AC4FDA">
        <w:rPr>
          <w:rFonts w:ascii="gobCL" w:hAnsi="gobCL" w:cs="gobCL"/>
        </w:rPr>
        <w:t>ñ</w:t>
      </w:r>
      <w:r w:rsidRPr="00AC4FDA">
        <w:rPr>
          <w:rFonts w:ascii="gobCL" w:hAnsi="gobCL"/>
        </w:rPr>
        <w:t>o 2024, que es:</w:t>
      </w:r>
    </w:p>
    <w:p w14:paraId="3B02F48B" w14:textId="77777777" w:rsidR="00AC4FDA" w:rsidRPr="00AC4FDA" w:rsidRDefault="00AC4FDA" w:rsidP="00AC4FDA">
      <w:pPr>
        <w:spacing w:after="0" w:line="240" w:lineRule="auto"/>
        <w:jc w:val="both"/>
        <w:rPr>
          <w:rFonts w:ascii="gobCL" w:hAnsi="gobCL"/>
        </w:rPr>
      </w:pPr>
    </w:p>
    <w:p w14:paraId="7B6C4E5C" w14:textId="77777777" w:rsidR="00AC4FDA" w:rsidRPr="00AC4FDA" w:rsidRDefault="00AC4FDA" w:rsidP="00AC4FDA">
      <w:pPr>
        <w:spacing w:after="0" w:line="240" w:lineRule="auto"/>
        <w:jc w:val="both"/>
        <w:rPr>
          <w:rFonts w:ascii="gobCL" w:hAnsi="gobCL"/>
        </w:rPr>
      </w:pPr>
      <w:r w:rsidRPr="00AC4FDA">
        <w:rPr>
          <w:rFonts w:ascii="Calibri" w:hAnsi="Calibri" w:cs="Calibri"/>
        </w:rPr>
        <w:t> </w:t>
      </w:r>
      <w:r w:rsidRPr="00AC4FDA">
        <w:rPr>
          <w:rFonts w:ascii="gobCL" w:hAnsi="gobCL" w:cs="gobCL"/>
        </w:rPr>
        <w:t>¿</w:t>
      </w:r>
      <w:r w:rsidRPr="00AC4FDA">
        <w:rPr>
          <w:rFonts w:ascii="gobCL" w:hAnsi="gobCL"/>
        </w:rPr>
        <w:t>Si un pescador artesanal en su calidad de oferente, se adjudica un lote cuando debe pagar la anualidad de dicho PEP?, se aplica la formalidad como artesanal, es decir en dos cuotas la primera en el mes de junio y la segunda en el mes de diciembre o cual es la forma de pagarla.</w:t>
      </w:r>
    </w:p>
    <w:p w14:paraId="62AA90C1" w14:textId="77777777" w:rsidR="00AC4FDA" w:rsidRDefault="00AC4FDA" w:rsidP="00FA2AEA">
      <w:pPr>
        <w:spacing w:line="240" w:lineRule="auto"/>
        <w:ind w:firstLine="360"/>
        <w:jc w:val="both"/>
        <w:rPr>
          <w:rFonts w:ascii="gobCL" w:hAnsi="gobCL"/>
          <w:b/>
          <w:color w:val="2F5496" w:themeColor="accent1" w:themeShade="BF"/>
        </w:rPr>
      </w:pPr>
    </w:p>
    <w:p w14:paraId="573F3F28" w14:textId="7B10C0FA" w:rsidR="00AC4FDA" w:rsidRPr="00AC4FDA" w:rsidRDefault="00AC4FDA" w:rsidP="00AC4FDA">
      <w:pPr>
        <w:overflowPunct w:val="0"/>
        <w:autoSpaceDE w:val="0"/>
        <w:autoSpaceDN w:val="0"/>
        <w:adjustRightInd w:val="0"/>
        <w:ind w:firstLine="708"/>
        <w:contextualSpacing/>
        <w:jc w:val="both"/>
        <w:textAlignment w:val="baseline"/>
        <w:rPr>
          <w:rFonts w:ascii="gobCL" w:hAnsi="gobCL"/>
          <w:b/>
          <w:color w:val="2F5496" w:themeColor="accent1" w:themeShade="BF"/>
        </w:rPr>
      </w:pPr>
      <w:r w:rsidRPr="00AC4FDA">
        <w:rPr>
          <w:rFonts w:ascii="gobCL" w:hAnsi="gobCL"/>
          <w:b/>
          <w:color w:val="2F5496" w:themeColor="accent1" w:themeShade="BF"/>
        </w:rPr>
        <w:t xml:space="preserve">Tal como lo indica el punto 16 de las bases </w:t>
      </w:r>
      <w:r w:rsidRPr="00F863D0">
        <w:rPr>
          <w:rFonts w:ascii="gobCL" w:hAnsi="gobCL"/>
          <w:b/>
          <w:color w:val="2F5496" w:themeColor="accent1" w:themeShade="BF"/>
        </w:rPr>
        <w:t>e</w:t>
      </w:r>
      <w:r w:rsidRPr="00AC4FDA">
        <w:rPr>
          <w:rFonts w:ascii="gobCL" w:hAnsi="gobCL"/>
          <w:b/>
          <w:color w:val="2F5496" w:themeColor="accent1" w:themeShade="BF"/>
        </w:rPr>
        <w:t>l monto total expresado en UTM de cada oferta adjudicada se dividirá en 10 anualidades iguales. Los pagos se efectuarán anticipadamente en el mes de diciembre de cada año. No obstante, el primero de estos deberá efectuarse dentro de los 5 días hábiles siguientes al día de la adjudicación del lote en la subasta.</w:t>
      </w:r>
    </w:p>
    <w:p w14:paraId="1782F1F0" w14:textId="3066D5AC" w:rsidR="00AC4FDA" w:rsidRPr="00FA2AEA" w:rsidRDefault="00AC4FDA" w:rsidP="00FA2AEA">
      <w:pPr>
        <w:spacing w:line="240" w:lineRule="auto"/>
        <w:ind w:firstLine="360"/>
        <w:jc w:val="both"/>
        <w:rPr>
          <w:rFonts w:ascii="gobCL" w:hAnsi="gobCL"/>
          <w:b/>
          <w:color w:val="2F5496" w:themeColor="accent1" w:themeShade="BF"/>
        </w:rPr>
      </w:pPr>
    </w:p>
    <w:p w14:paraId="784E16F3" w14:textId="77777777" w:rsidR="00680764" w:rsidRPr="00680764" w:rsidRDefault="00680764" w:rsidP="00680764">
      <w:pPr>
        <w:widowControl w:val="0"/>
        <w:spacing w:after="0" w:line="240" w:lineRule="auto"/>
        <w:ind w:left="709"/>
        <w:jc w:val="both"/>
        <w:rPr>
          <w:rFonts w:ascii="gobCL" w:eastAsia="Times New Roman" w:hAnsi="gobCL" w:cs="Arial"/>
          <w:snapToGrid w:val="0"/>
          <w:lang w:val="es-ES_tradnl" w:eastAsia="es-ES"/>
        </w:rPr>
      </w:pPr>
    </w:p>
    <w:sectPr w:rsidR="00680764" w:rsidRPr="00680764" w:rsidSect="003D58F3">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69E2" w14:textId="77777777" w:rsidR="00D20F14" w:rsidRDefault="00D20F14" w:rsidP="00D20F14">
      <w:pPr>
        <w:spacing w:after="0" w:line="240" w:lineRule="auto"/>
      </w:pPr>
      <w:r>
        <w:separator/>
      </w:r>
    </w:p>
  </w:endnote>
  <w:endnote w:type="continuationSeparator" w:id="0">
    <w:p w14:paraId="69C8861A" w14:textId="77777777" w:rsidR="00D20F14" w:rsidRDefault="00D20F14" w:rsidP="00D2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85EA" w14:textId="77777777" w:rsidR="00D20F14" w:rsidRPr="00D20F14" w:rsidRDefault="00D20F14">
    <w:pPr>
      <w:tabs>
        <w:tab w:val="center" w:pos="4550"/>
        <w:tab w:val="left" w:pos="5818"/>
      </w:tabs>
      <w:ind w:right="260"/>
      <w:jc w:val="right"/>
      <w:rPr>
        <w:rFonts w:ascii="gobCL" w:hAnsi="gobCL"/>
        <w:sz w:val="20"/>
        <w:szCs w:val="20"/>
      </w:rPr>
    </w:pPr>
    <w:r w:rsidRPr="00D20F14">
      <w:rPr>
        <w:rFonts w:ascii="gobCL" w:hAnsi="gobCL"/>
        <w:spacing w:val="60"/>
        <w:sz w:val="20"/>
        <w:szCs w:val="20"/>
        <w:lang w:val="es-ES"/>
      </w:rPr>
      <w:t>Página</w:t>
    </w:r>
    <w:r w:rsidRPr="00D20F14">
      <w:rPr>
        <w:rFonts w:ascii="gobCL" w:hAnsi="gobCL"/>
        <w:sz w:val="20"/>
        <w:szCs w:val="20"/>
        <w:lang w:val="es-ES"/>
      </w:rPr>
      <w:t xml:space="preserve"> </w:t>
    </w:r>
    <w:r w:rsidRPr="00D20F14">
      <w:rPr>
        <w:rFonts w:ascii="gobCL" w:hAnsi="gobCL"/>
        <w:sz w:val="20"/>
        <w:szCs w:val="20"/>
      </w:rPr>
      <w:fldChar w:fldCharType="begin"/>
    </w:r>
    <w:r w:rsidRPr="00D20F14">
      <w:rPr>
        <w:rFonts w:ascii="gobCL" w:hAnsi="gobCL"/>
        <w:sz w:val="20"/>
        <w:szCs w:val="20"/>
      </w:rPr>
      <w:instrText>PAGE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r w:rsidRPr="00D20F14">
      <w:rPr>
        <w:rFonts w:ascii="gobCL" w:hAnsi="gobCL"/>
        <w:sz w:val="20"/>
        <w:szCs w:val="20"/>
        <w:lang w:val="es-ES"/>
      </w:rPr>
      <w:t xml:space="preserve"> | </w:t>
    </w:r>
    <w:r w:rsidRPr="00D20F14">
      <w:rPr>
        <w:rFonts w:ascii="gobCL" w:hAnsi="gobCL"/>
        <w:sz w:val="20"/>
        <w:szCs w:val="20"/>
      </w:rPr>
      <w:fldChar w:fldCharType="begin"/>
    </w:r>
    <w:r w:rsidRPr="00D20F14">
      <w:rPr>
        <w:rFonts w:ascii="gobCL" w:hAnsi="gobCL"/>
        <w:sz w:val="20"/>
        <w:szCs w:val="20"/>
      </w:rPr>
      <w:instrText>NUMPAGES  \* Arabic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p>
  <w:p w14:paraId="32D9041A" w14:textId="77777777" w:rsidR="00D20F14" w:rsidRDefault="00D20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A3A5" w14:textId="77777777" w:rsidR="00D20F14" w:rsidRDefault="00D20F14" w:rsidP="00D20F14">
      <w:pPr>
        <w:spacing w:after="0" w:line="240" w:lineRule="auto"/>
      </w:pPr>
      <w:r>
        <w:separator/>
      </w:r>
    </w:p>
  </w:footnote>
  <w:footnote w:type="continuationSeparator" w:id="0">
    <w:p w14:paraId="0E89021E" w14:textId="77777777" w:rsidR="00D20F14" w:rsidRDefault="00D20F14" w:rsidP="00D20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D0"/>
    <w:multiLevelType w:val="hybridMultilevel"/>
    <w:tmpl w:val="F9D864A4"/>
    <w:lvl w:ilvl="0" w:tplc="7818AC00">
      <w:start w:val="1"/>
      <w:numFmt w:val="lowerLetter"/>
      <w:lvlText w:val="%1)"/>
      <w:lvlJc w:val="left"/>
      <w:pPr>
        <w:ind w:left="1778" w:hanging="360"/>
      </w:pPr>
      <w:rPr>
        <w:rFonts w:hint="default"/>
        <w:u w:val="none"/>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 w15:restartNumberingAfterBreak="0">
    <w:nsid w:val="022A25FB"/>
    <w:multiLevelType w:val="hybridMultilevel"/>
    <w:tmpl w:val="1FFC67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57276CA"/>
    <w:multiLevelType w:val="hybridMultilevel"/>
    <w:tmpl w:val="BAEED7B2"/>
    <w:lvl w:ilvl="0" w:tplc="667C447C">
      <w:start w:val="1"/>
      <w:numFmt w:val="low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76D5988"/>
    <w:multiLevelType w:val="hybridMultilevel"/>
    <w:tmpl w:val="58E80E4C"/>
    <w:lvl w:ilvl="0" w:tplc="5FACB3D2">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30F315BA"/>
    <w:multiLevelType w:val="hybridMultilevel"/>
    <w:tmpl w:val="7DA24F6E"/>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81A0ED9"/>
    <w:multiLevelType w:val="hybridMultilevel"/>
    <w:tmpl w:val="E892BCC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15:restartNumberingAfterBreak="0">
    <w:nsid w:val="3E910A62"/>
    <w:multiLevelType w:val="hybridMultilevel"/>
    <w:tmpl w:val="C960250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54C132F6"/>
    <w:multiLevelType w:val="hybridMultilevel"/>
    <w:tmpl w:val="57583662"/>
    <w:lvl w:ilvl="0" w:tplc="45E024F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633D5603"/>
    <w:multiLevelType w:val="hybridMultilevel"/>
    <w:tmpl w:val="B3A8C294"/>
    <w:lvl w:ilvl="0" w:tplc="3538340A">
      <w:start w:val="1"/>
      <w:numFmt w:val="decimal"/>
      <w:lvlText w:val="%1."/>
      <w:lvlJc w:val="left"/>
      <w:pPr>
        <w:ind w:left="720" w:hanging="360"/>
      </w:pPr>
      <w:rPr>
        <w:rFonts w:eastAsia="Times New Roman" w:hint="default"/>
        <w:b/>
        <w:bCs/>
        <w:color w:val="44546A" w:themeColor="text2"/>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1AA4B94"/>
    <w:multiLevelType w:val="hybridMultilevel"/>
    <w:tmpl w:val="EB50F28A"/>
    <w:lvl w:ilvl="0" w:tplc="7EBC8AE6">
      <w:start w:val="1"/>
      <w:numFmt w:val="decimal"/>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3393385"/>
    <w:multiLevelType w:val="hybridMultilevel"/>
    <w:tmpl w:val="0E9269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3485D71"/>
    <w:multiLevelType w:val="hybridMultilevel"/>
    <w:tmpl w:val="0600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8806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742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813721">
    <w:abstractNumId w:val="10"/>
  </w:num>
  <w:num w:numId="4" w16cid:durableId="846208855">
    <w:abstractNumId w:val="3"/>
  </w:num>
  <w:num w:numId="5" w16cid:durableId="1729187302">
    <w:abstractNumId w:val="7"/>
  </w:num>
  <w:num w:numId="6" w16cid:durableId="708065530">
    <w:abstractNumId w:val="0"/>
  </w:num>
  <w:num w:numId="7" w16cid:durableId="1924603265">
    <w:abstractNumId w:val="8"/>
  </w:num>
  <w:num w:numId="8" w16cid:durableId="278998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394255">
    <w:abstractNumId w:val="1"/>
  </w:num>
  <w:num w:numId="10" w16cid:durableId="1097628874">
    <w:abstractNumId w:val="11"/>
  </w:num>
  <w:num w:numId="11" w16cid:durableId="1195266271">
    <w:abstractNumId w:val="4"/>
  </w:num>
  <w:num w:numId="12" w16cid:durableId="277296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21"/>
    <w:rsid w:val="00054426"/>
    <w:rsid w:val="00054BE7"/>
    <w:rsid w:val="00087533"/>
    <w:rsid w:val="00127711"/>
    <w:rsid w:val="00152B21"/>
    <w:rsid w:val="001E43F9"/>
    <w:rsid w:val="002028AA"/>
    <w:rsid w:val="003D58F3"/>
    <w:rsid w:val="00571177"/>
    <w:rsid w:val="005F6BFA"/>
    <w:rsid w:val="00650AD5"/>
    <w:rsid w:val="00680764"/>
    <w:rsid w:val="006D0A6E"/>
    <w:rsid w:val="006F3983"/>
    <w:rsid w:val="008426B4"/>
    <w:rsid w:val="008C65A4"/>
    <w:rsid w:val="00907737"/>
    <w:rsid w:val="00972265"/>
    <w:rsid w:val="0097691E"/>
    <w:rsid w:val="009C2A45"/>
    <w:rsid w:val="00AC4FDA"/>
    <w:rsid w:val="00B819E7"/>
    <w:rsid w:val="00BA452E"/>
    <w:rsid w:val="00C10A21"/>
    <w:rsid w:val="00CE3B35"/>
    <w:rsid w:val="00D039CF"/>
    <w:rsid w:val="00D050F6"/>
    <w:rsid w:val="00D127B2"/>
    <w:rsid w:val="00D20F14"/>
    <w:rsid w:val="00DE2066"/>
    <w:rsid w:val="00F203E1"/>
    <w:rsid w:val="00F247A1"/>
    <w:rsid w:val="00F7741C"/>
    <w:rsid w:val="00F863D0"/>
    <w:rsid w:val="00FA2A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7D7B"/>
  <w15:chartTrackingRefBased/>
  <w15:docId w15:val="{98A8BF33-484B-4523-A7FA-E02526D7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2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8AA"/>
    <w:pPr>
      <w:spacing w:after="0" w:line="240" w:lineRule="auto"/>
      <w:ind w:left="720"/>
    </w:pPr>
    <w:rPr>
      <w:rFonts w:ascii="Calibri" w:hAnsi="Calibri" w:cs="Times New Roman"/>
      <w:lang w:eastAsia="es-CL"/>
    </w:rPr>
  </w:style>
  <w:style w:type="character" w:styleId="Hipervnculo">
    <w:name w:val="Hyperlink"/>
    <w:basedOn w:val="Fuentedeprrafopredeter"/>
    <w:uiPriority w:val="99"/>
    <w:semiHidden/>
    <w:unhideWhenUsed/>
    <w:rsid w:val="002028AA"/>
    <w:rPr>
      <w:color w:val="0000FF"/>
      <w:u w:val="single"/>
    </w:rPr>
  </w:style>
  <w:style w:type="paragraph" w:styleId="Encabezado">
    <w:name w:val="header"/>
    <w:basedOn w:val="Normal"/>
    <w:link w:val="EncabezadoCar"/>
    <w:uiPriority w:val="99"/>
    <w:unhideWhenUsed/>
    <w:rsid w:val="00D20F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14"/>
  </w:style>
  <w:style w:type="paragraph" w:styleId="Piedepgina">
    <w:name w:val="footer"/>
    <w:basedOn w:val="Normal"/>
    <w:link w:val="PiedepginaCar"/>
    <w:uiPriority w:val="99"/>
    <w:unhideWhenUsed/>
    <w:rsid w:val="00D20F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14"/>
  </w:style>
  <w:style w:type="paragraph" w:styleId="Textonotapie">
    <w:name w:val="footnote text"/>
    <w:basedOn w:val="Normal"/>
    <w:link w:val="TextonotapieCar"/>
    <w:uiPriority w:val="99"/>
    <w:semiHidden/>
    <w:unhideWhenUsed/>
    <w:rsid w:val="006807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0764"/>
    <w:rPr>
      <w:sz w:val="20"/>
      <w:szCs w:val="20"/>
    </w:rPr>
  </w:style>
  <w:style w:type="character" w:styleId="Refdenotaalpie">
    <w:name w:val="footnote reference"/>
    <w:rsid w:val="00680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5628">
      <w:bodyDiv w:val="1"/>
      <w:marLeft w:val="0"/>
      <w:marRight w:val="0"/>
      <w:marTop w:val="0"/>
      <w:marBottom w:val="0"/>
      <w:divBdr>
        <w:top w:val="none" w:sz="0" w:space="0" w:color="auto"/>
        <w:left w:val="none" w:sz="0" w:space="0" w:color="auto"/>
        <w:bottom w:val="none" w:sz="0" w:space="0" w:color="auto"/>
        <w:right w:val="none" w:sz="0" w:space="0" w:color="auto"/>
      </w:divBdr>
    </w:div>
    <w:div w:id="132717711">
      <w:bodyDiv w:val="1"/>
      <w:marLeft w:val="0"/>
      <w:marRight w:val="0"/>
      <w:marTop w:val="0"/>
      <w:marBottom w:val="0"/>
      <w:divBdr>
        <w:top w:val="none" w:sz="0" w:space="0" w:color="auto"/>
        <w:left w:val="none" w:sz="0" w:space="0" w:color="auto"/>
        <w:bottom w:val="none" w:sz="0" w:space="0" w:color="auto"/>
        <w:right w:val="none" w:sz="0" w:space="0" w:color="auto"/>
      </w:divBdr>
    </w:div>
    <w:div w:id="301010909">
      <w:bodyDiv w:val="1"/>
      <w:marLeft w:val="0"/>
      <w:marRight w:val="0"/>
      <w:marTop w:val="0"/>
      <w:marBottom w:val="0"/>
      <w:divBdr>
        <w:top w:val="none" w:sz="0" w:space="0" w:color="auto"/>
        <w:left w:val="none" w:sz="0" w:space="0" w:color="auto"/>
        <w:bottom w:val="none" w:sz="0" w:space="0" w:color="auto"/>
        <w:right w:val="none" w:sz="0" w:space="0" w:color="auto"/>
      </w:divBdr>
    </w:div>
    <w:div w:id="405417542">
      <w:bodyDiv w:val="1"/>
      <w:marLeft w:val="0"/>
      <w:marRight w:val="0"/>
      <w:marTop w:val="0"/>
      <w:marBottom w:val="0"/>
      <w:divBdr>
        <w:top w:val="none" w:sz="0" w:space="0" w:color="auto"/>
        <w:left w:val="none" w:sz="0" w:space="0" w:color="auto"/>
        <w:bottom w:val="none" w:sz="0" w:space="0" w:color="auto"/>
        <w:right w:val="none" w:sz="0" w:space="0" w:color="auto"/>
      </w:divBdr>
    </w:div>
    <w:div w:id="538662343">
      <w:bodyDiv w:val="1"/>
      <w:marLeft w:val="0"/>
      <w:marRight w:val="0"/>
      <w:marTop w:val="0"/>
      <w:marBottom w:val="0"/>
      <w:divBdr>
        <w:top w:val="none" w:sz="0" w:space="0" w:color="auto"/>
        <w:left w:val="none" w:sz="0" w:space="0" w:color="auto"/>
        <w:bottom w:val="none" w:sz="0" w:space="0" w:color="auto"/>
        <w:right w:val="none" w:sz="0" w:space="0" w:color="auto"/>
      </w:divBdr>
    </w:div>
    <w:div w:id="654381866">
      <w:bodyDiv w:val="1"/>
      <w:marLeft w:val="0"/>
      <w:marRight w:val="0"/>
      <w:marTop w:val="0"/>
      <w:marBottom w:val="0"/>
      <w:divBdr>
        <w:top w:val="none" w:sz="0" w:space="0" w:color="auto"/>
        <w:left w:val="none" w:sz="0" w:space="0" w:color="auto"/>
        <w:bottom w:val="none" w:sz="0" w:space="0" w:color="auto"/>
        <w:right w:val="none" w:sz="0" w:space="0" w:color="auto"/>
      </w:divBdr>
    </w:div>
    <w:div w:id="1121532304">
      <w:bodyDiv w:val="1"/>
      <w:marLeft w:val="0"/>
      <w:marRight w:val="0"/>
      <w:marTop w:val="0"/>
      <w:marBottom w:val="0"/>
      <w:divBdr>
        <w:top w:val="none" w:sz="0" w:space="0" w:color="auto"/>
        <w:left w:val="none" w:sz="0" w:space="0" w:color="auto"/>
        <w:bottom w:val="none" w:sz="0" w:space="0" w:color="auto"/>
        <w:right w:val="none" w:sz="0" w:space="0" w:color="auto"/>
      </w:divBdr>
    </w:div>
    <w:div w:id="1593390303">
      <w:bodyDiv w:val="1"/>
      <w:marLeft w:val="0"/>
      <w:marRight w:val="0"/>
      <w:marTop w:val="0"/>
      <w:marBottom w:val="0"/>
      <w:divBdr>
        <w:top w:val="none" w:sz="0" w:space="0" w:color="auto"/>
        <w:left w:val="none" w:sz="0" w:space="0" w:color="auto"/>
        <w:bottom w:val="none" w:sz="0" w:space="0" w:color="auto"/>
        <w:right w:val="none" w:sz="0" w:space="0" w:color="auto"/>
      </w:divBdr>
    </w:div>
    <w:div w:id="1599945644">
      <w:bodyDiv w:val="1"/>
      <w:marLeft w:val="0"/>
      <w:marRight w:val="0"/>
      <w:marTop w:val="0"/>
      <w:marBottom w:val="0"/>
      <w:divBdr>
        <w:top w:val="none" w:sz="0" w:space="0" w:color="auto"/>
        <w:left w:val="none" w:sz="0" w:space="0" w:color="auto"/>
        <w:bottom w:val="none" w:sz="0" w:space="0" w:color="auto"/>
        <w:right w:val="none" w:sz="0" w:space="0" w:color="auto"/>
      </w:divBdr>
    </w:div>
    <w:div w:id="1682320607">
      <w:bodyDiv w:val="1"/>
      <w:marLeft w:val="0"/>
      <w:marRight w:val="0"/>
      <w:marTop w:val="0"/>
      <w:marBottom w:val="0"/>
      <w:divBdr>
        <w:top w:val="none" w:sz="0" w:space="0" w:color="auto"/>
        <w:left w:val="none" w:sz="0" w:space="0" w:color="auto"/>
        <w:bottom w:val="none" w:sz="0" w:space="0" w:color="auto"/>
        <w:right w:val="none" w:sz="0" w:space="0" w:color="auto"/>
      </w:divBdr>
    </w:div>
    <w:div w:id="1713266728">
      <w:bodyDiv w:val="1"/>
      <w:marLeft w:val="0"/>
      <w:marRight w:val="0"/>
      <w:marTop w:val="0"/>
      <w:marBottom w:val="0"/>
      <w:divBdr>
        <w:top w:val="none" w:sz="0" w:space="0" w:color="auto"/>
        <w:left w:val="none" w:sz="0" w:space="0" w:color="auto"/>
        <w:bottom w:val="none" w:sz="0" w:space="0" w:color="auto"/>
        <w:right w:val="none" w:sz="0" w:space="0" w:color="auto"/>
      </w:divBdr>
    </w:div>
    <w:div w:id="20933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publica@subpesca.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F0EF-FBD4-4706-8461-FCF58C97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760</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Ortiz</dc:creator>
  <cp:keywords/>
  <dc:description/>
  <cp:lastModifiedBy>Francisco Ortiz</cp:lastModifiedBy>
  <cp:revision>14</cp:revision>
  <cp:lastPrinted>2023-11-29T19:10:00Z</cp:lastPrinted>
  <dcterms:created xsi:type="dcterms:W3CDTF">2023-12-04T11:41:00Z</dcterms:created>
  <dcterms:modified xsi:type="dcterms:W3CDTF">2023-12-05T11:32:00Z</dcterms:modified>
</cp:coreProperties>
</file>