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4EA" w:rsidRPr="00E834A1" w:rsidRDefault="007134EA" w:rsidP="00C74C4C">
      <w:pPr>
        <w:ind w:left="720"/>
        <w:jc w:val="both"/>
        <w:rPr>
          <w:rFonts w:ascii="gobCL" w:hAnsi="gobCL" w:cs="Times New Roman"/>
          <w:b/>
          <w:sz w:val="22"/>
          <w:szCs w:val="22"/>
          <w:u w:val="single"/>
          <w:lang w:eastAsia="es-CL"/>
        </w:rPr>
      </w:pPr>
      <w:r w:rsidRPr="00E834A1">
        <w:rPr>
          <w:rFonts w:ascii="gobCL" w:hAnsi="gobCL" w:cs="Times New Roman"/>
          <w:b/>
          <w:sz w:val="22"/>
          <w:szCs w:val="22"/>
          <w:u w:val="single"/>
          <w:lang w:eastAsia="es-CL"/>
        </w:rPr>
        <w:t>ACLARACIONES A BASES ADMINISTRATIVAS SUBASTA PERMISOS EXTRAORDINARIOS DE PESCA</w:t>
      </w:r>
    </w:p>
    <w:p w:rsidR="007134EA" w:rsidRPr="00E834A1" w:rsidRDefault="007134EA" w:rsidP="00C74C4C">
      <w:pPr>
        <w:ind w:left="720"/>
        <w:jc w:val="both"/>
        <w:rPr>
          <w:rFonts w:ascii="gobCL" w:hAnsi="gobCL" w:cs="Times New Roman"/>
          <w:b/>
          <w:sz w:val="22"/>
          <w:szCs w:val="22"/>
          <w:lang w:eastAsia="es-CL"/>
        </w:rPr>
      </w:pPr>
    </w:p>
    <w:p w:rsidR="007134EA" w:rsidRPr="00E834A1" w:rsidRDefault="007134EA" w:rsidP="00C74C4C">
      <w:pPr>
        <w:spacing w:after="200" w:line="276" w:lineRule="auto"/>
        <w:jc w:val="both"/>
        <w:rPr>
          <w:rFonts w:ascii="gobCL" w:hAnsi="gobCL" w:cstheme="minorBidi"/>
          <w:sz w:val="22"/>
          <w:szCs w:val="22"/>
        </w:rPr>
      </w:pPr>
      <w:r w:rsidRPr="00E834A1">
        <w:rPr>
          <w:rFonts w:ascii="gobCL" w:hAnsi="gobCL" w:cstheme="minorBidi"/>
          <w:b/>
          <w:sz w:val="22"/>
          <w:szCs w:val="22"/>
        </w:rPr>
        <w:t xml:space="preserve">Aclaraciones a las bases dirigidas al correo electrónico </w:t>
      </w:r>
      <w:hyperlink r:id="rId7" w:history="1">
        <w:r w:rsidRPr="00E834A1">
          <w:rPr>
            <w:rFonts w:ascii="gobCL" w:hAnsi="gobCL" w:cstheme="minorBidi"/>
            <w:b/>
            <w:color w:val="0000FF"/>
            <w:sz w:val="22"/>
            <w:szCs w:val="22"/>
            <w:u w:val="single"/>
          </w:rPr>
          <w:t>subastapublica@subpesca.cl</w:t>
        </w:r>
      </w:hyperlink>
      <w:r w:rsidRPr="00E834A1">
        <w:rPr>
          <w:rFonts w:ascii="gobCL" w:hAnsi="gobCL" w:cstheme="minorBidi"/>
          <w:b/>
          <w:sz w:val="22"/>
          <w:szCs w:val="22"/>
        </w:rPr>
        <w:t xml:space="preserve"> a la fecha de 30 noviembre de 2022, según el orden de llegada y dentro del plazo de 3 días hábiles.</w:t>
      </w:r>
    </w:p>
    <w:p w:rsidR="00D43846" w:rsidRPr="00E834A1" w:rsidRDefault="00D43846" w:rsidP="00C74C4C">
      <w:pPr>
        <w:jc w:val="both"/>
        <w:rPr>
          <w:rFonts w:ascii="gobCL" w:hAnsi="gobCL"/>
          <w:sz w:val="22"/>
          <w:szCs w:val="22"/>
        </w:rPr>
      </w:pPr>
    </w:p>
    <w:p w:rsidR="00D43846" w:rsidRPr="00E834A1" w:rsidRDefault="00C74C4C" w:rsidP="00C74C4C">
      <w:pPr>
        <w:jc w:val="both"/>
        <w:rPr>
          <w:rFonts w:ascii="gobCL" w:hAnsi="gobCL"/>
          <w:sz w:val="22"/>
          <w:szCs w:val="22"/>
        </w:rPr>
      </w:pPr>
      <w:r w:rsidRPr="00E834A1">
        <w:rPr>
          <w:rFonts w:ascii="gobCL" w:hAnsi="gobCL"/>
          <w:sz w:val="22"/>
          <w:szCs w:val="22"/>
        </w:rPr>
        <w:t xml:space="preserve">5.- </w:t>
      </w:r>
      <w:r w:rsidR="00D43846" w:rsidRPr="00E834A1">
        <w:rPr>
          <w:rFonts w:ascii="gobCL" w:hAnsi="gobCL"/>
          <w:sz w:val="22"/>
          <w:szCs w:val="22"/>
        </w:rPr>
        <w:t>Como empresa estamos generando la documentación para participar a la Subasta ordinaria de Bacalao de Profundidad (Paralelo 47°LS al 57°LS) temporada año 2023.</w:t>
      </w:r>
    </w:p>
    <w:p w:rsidR="00D43846" w:rsidRPr="00E834A1" w:rsidRDefault="00D43846" w:rsidP="00C74C4C">
      <w:pPr>
        <w:jc w:val="both"/>
        <w:rPr>
          <w:rFonts w:ascii="gobCL" w:hAnsi="gobCL"/>
          <w:sz w:val="22"/>
          <w:szCs w:val="22"/>
        </w:rPr>
      </w:pPr>
      <w:r w:rsidRPr="00E834A1">
        <w:rPr>
          <w:rFonts w:ascii="gobCL" w:hAnsi="gobCL"/>
          <w:sz w:val="22"/>
          <w:szCs w:val="22"/>
        </w:rPr>
        <w:t>Nos podrían aclarar lo siguiente sobre las bases de la subasta:</w:t>
      </w:r>
    </w:p>
    <w:p w:rsidR="00D43846" w:rsidRPr="00E834A1" w:rsidRDefault="00D43846" w:rsidP="00C74C4C">
      <w:pPr>
        <w:jc w:val="both"/>
        <w:rPr>
          <w:rFonts w:ascii="gobCL" w:hAnsi="gobCL"/>
          <w:sz w:val="22"/>
          <w:szCs w:val="22"/>
        </w:rPr>
      </w:pPr>
    </w:p>
    <w:p w:rsidR="00D43846" w:rsidRPr="00E834A1" w:rsidRDefault="00D43846" w:rsidP="00C74C4C">
      <w:pPr>
        <w:pStyle w:val="Prrafodelista"/>
        <w:numPr>
          <w:ilvl w:val="0"/>
          <w:numId w:val="2"/>
        </w:numPr>
        <w:jc w:val="both"/>
        <w:rPr>
          <w:rFonts w:ascii="gobCL" w:hAnsi="gobCL"/>
        </w:rPr>
      </w:pPr>
      <w:r w:rsidRPr="00E834A1">
        <w:rPr>
          <w:rFonts w:ascii="gobCL" w:hAnsi="gobCL"/>
        </w:rPr>
        <w:t>Legalmente si nos adjudicamos la subasta por la cuota por los próximos 10 años, si por alguna razón decidimos desistir de la cuota adjudicada al año número 5, ¿Existe alguna multa o similar por desistir?</w:t>
      </w:r>
    </w:p>
    <w:p w:rsidR="00C74C4C" w:rsidRPr="00E834A1" w:rsidRDefault="00C74C4C" w:rsidP="00C74C4C">
      <w:pPr>
        <w:pStyle w:val="Prrafodelista"/>
        <w:ind w:left="1080"/>
        <w:jc w:val="both"/>
        <w:rPr>
          <w:rFonts w:ascii="gobCL" w:hAnsi="gobCL"/>
        </w:rPr>
      </w:pPr>
    </w:p>
    <w:p w:rsidR="00C74C4C" w:rsidRPr="00E834A1" w:rsidRDefault="00C74C4C" w:rsidP="00C74C4C">
      <w:pPr>
        <w:jc w:val="both"/>
        <w:rPr>
          <w:rFonts w:ascii="gobCL" w:hAnsi="gobCL"/>
          <w:b/>
          <w:bCs/>
          <w:color w:val="2F5496" w:themeColor="accent1" w:themeShade="BF"/>
          <w:sz w:val="22"/>
          <w:szCs w:val="22"/>
        </w:rPr>
      </w:pPr>
      <w:r w:rsidRPr="00E834A1">
        <w:rPr>
          <w:rFonts w:ascii="gobCL" w:hAnsi="gobCL"/>
          <w:b/>
          <w:bCs/>
          <w:color w:val="2F5496" w:themeColor="accent1" w:themeShade="BF"/>
          <w:sz w:val="22"/>
          <w:szCs w:val="22"/>
        </w:rPr>
        <w:t>No existe multa asociada, considerar que las anualidades se pagan anticipadamente en el mes de diciembre de cada año.</w:t>
      </w:r>
    </w:p>
    <w:p w:rsidR="00D43846" w:rsidRPr="00E834A1" w:rsidRDefault="00D43846" w:rsidP="00C74C4C">
      <w:pPr>
        <w:pStyle w:val="Prrafodelista"/>
        <w:jc w:val="both"/>
        <w:rPr>
          <w:rFonts w:ascii="gobCL" w:hAnsi="gobCL"/>
        </w:rPr>
      </w:pPr>
    </w:p>
    <w:p w:rsidR="00D43846" w:rsidRPr="00E834A1" w:rsidRDefault="00824107" w:rsidP="00C74C4C">
      <w:pPr>
        <w:pStyle w:val="Prrafodelista"/>
        <w:numPr>
          <w:ilvl w:val="0"/>
          <w:numId w:val="2"/>
        </w:numPr>
        <w:jc w:val="both"/>
        <w:rPr>
          <w:rFonts w:ascii="gobCL" w:hAnsi="gobCL"/>
        </w:rPr>
      </w:pPr>
      <w:r w:rsidRPr="00E834A1">
        <w:rPr>
          <w:rFonts w:ascii="gobCL" w:hAnsi="gobCL"/>
        </w:rPr>
        <w:t>¿La oferta por cada lote, es por el monto total por los 10 años que dura la cuota?</w:t>
      </w:r>
    </w:p>
    <w:p w:rsidR="00C74C4C" w:rsidRPr="00E834A1" w:rsidRDefault="00C74C4C" w:rsidP="00C74C4C">
      <w:pPr>
        <w:jc w:val="both"/>
        <w:rPr>
          <w:rFonts w:ascii="gobCL" w:hAnsi="gobCL"/>
          <w:b/>
          <w:bCs/>
          <w:color w:val="2F5496" w:themeColor="accent1" w:themeShade="BF"/>
          <w:sz w:val="22"/>
          <w:szCs w:val="22"/>
        </w:rPr>
      </w:pPr>
    </w:p>
    <w:p w:rsidR="00C74C4C" w:rsidRPr="00E834A1" w:rsidRDefault="00C74C4C" w:rsidP="00C74C4C">
      <w:pPr>
        <w:jc w:val="both"/>
        <w:rPr>
          <w:rFonts w:ascii="gobCL" w:hAnsi="gobCL"/>
          <w:b/>
          <w:bCs/>
          <w:color w:val="2F5496" w:themeColor="accent1" w:themeShade="BF"/>
          <w:sz w:val="22"/>
          <w:szCs w:val="22"/>
        </w:rPr>
      </w:pPr>
      <w:r w:rsidRPr="00E834A1">
        <w:rPr>
          <w:rFonts w:ascii="gobCL" w:hAnsi="gobCL"/>
          <w:b/>
          <w:bCs/>
          <w:color w:val="2F5496" w:themeColor="accent1" w:themeShade="BF"/>
          <w:sz w:val="22"/>
          <w:szCs w:val="22"/>
        </w:rPr>
        <w:t>Si, es por total de años, recordar que e</w:t>
      </w:r>
      <w:r w:rsidRPr="00E834A1">
        <w:rPr>
          <w:rFonts w:ascii="gobCL" w:hAnsi="gobCL"/>
          <w:b/>
          <w:bCs/>
          <w:color w:val="2F5496" w:themeColor="accent1" w:themeShade="BF"/>
          <w:sz w:val="22"/>
          <w:szCs w:val="22"/>
        </w:rPr>
        <w:t xml:space="preserve">l monto total expresado en </w:t>
      </w:r>
      <w:proofErr w:type="spellStart"/>
      <w:r w:rsidRPr="00E834A1">
        <w:rPr>
          <w:rFonts w:ascii="gobCL" w:hAnsi="gobCL"/>
          <w:b/>
          <w:bCs/>
          <w:color w:val="2F5496" w:themeColor="accent1" w:themeShade="BF"/>
          <w:sz w:val="22"/>
          <w:szCs w:val="22"/>
        </w:rPr>
        <w:t>UTM</w:t>
      </w:r>
      <w:proofErr w:type="spellEnd"/>
      <w:r w:rsidRPr="00E834A1">
        <w:rPr>
          <w:rFonts w:ascii="gobCL" w:hAnsi="gobCL"/>
          <w:b/>
          <w:bCs/>
          <w:color w:val="2F5496" w:themeColor="accent1" w:themeShade="BF"/>
          <w:sz w:val="22"/>
          <w:szCs w:val="22"/>
        </w:rPr>
        <w:t xml:space="preserve"> de cada oferta adjudicada se dividirá en 10 anualidades iguales</w:t>
      </w:r>
    </w:p>
    <w:p w:rsidR="00824107" w:rsidRPr="00E834A1" w:rsidRDefault="00824107" w:rsidP="00C74C4C">
      <w:pPr>
        <w:pStyle w:val="Prrafodelista"/>
        <w:jc w:val="both"/>
        <w:rPr>
          <w:rFonts w:ascii="gobCL" w:hAnsi="gobCL"/>
        </w:rPr>
      </w:pPr>
    </w:p>
    <w:p w:rsidR="00D43846" w:rsidRPr="00E834A1" w:rsidRDefault="00D43846" w:rsidP="00C74C4C">
      <w:pPr>
        <w:pStyle w:val="Prrafodelista"/>
        <w:numPr>
          <w:ilvl w:val="0"/>
          <w:numId w:val="2"/>
        </w:numPr>
        <w:jc w:val="both"/>
        <w:rPr>
          <w:rFonts w:ascii="gobCL" w:hAnsi="gobCL"/>
        </w:rPr>
      </w:pPr>
      <w:r w:rsidRPr="00E834A1">
        <w:rPr>
          <w:rFonts w:ascii="gobCL" w:hAnsi="gobCL"/>
        </w:rPr>
        <w:t xml:space="preserve">Proyecta </w:t>
      </w:r>
      <w:proofErr w:type="spellStart"/>
      <w:r w:rsidRPr="00E834A1">
        <w:rPr>
          <w:rFonts w:ascii="gobCL" w:hAnsi="gobCL"/>
        </w:rPr>
        <w:t>Corp</w:t>
      </w:r>
      <w:proofErr w:type="spellEnd"/>
      <w:r w:rsidRPr="00E834A1">
        <w:rPr>
          <w:rFonts w:ascii="gobCL" w:hAnsi="gobCL"/>
        </w:rPr>
        <w:t xml:space="preserve"> no cuenta con embarcaciones para realizar la pesca de e</w:t>
      </w:r>
      <w:r w:rsidR="00C74C4C" w:rsidRPr="00E834A1">
        <w:rPr>
          <w:rFonts w:ascii="gobCL" w:hAnsi="gobCL"/>
        </w:rPr>
        <w:t>s</w:t>
      </w:r>
      <w:r w:rsidRPr="00E834A1">
        <w:rPr>
          <w:rFonts w:ascii="gobCL" w:hAnsi="gobCL"/>
        </w:rPr>
        <w:t xml:space="preserve">ta cuota, pero si tenemos pescadores que la pueden realizar. ¿Es necesario que Proyecta </w:t>
      </w:r>
      <w:proofErr w:type="spellStart"/>
      <w:r w:rsidRPr="00E834A1">
        <w:rPr>
          <w:rFonts w:ascii="gobCL" w:hAnsi="gobCL"/>
        </w:rPr>
        <w:t>Corp</w:t>
      </w:r>
      <w:proofErr w:type="spellEnd"/>
      <w:r w:rsidRPr="00E834A1">
        <w:rPr>
          <w:rFonts w:ascii="gobCL" w:hAnsi="gobCL"/>
        </w:rPr>
        <w:t xml:space="preserve"> cuente con un contrato de “pesca” con el pescador artesanal para poder </w:t>
      </w:r>
      <w:r w:rsidR="00824107" w:rsidRPr="00E834A1">
        <w:rPr>
          <w:rFonts w:ascii="gobCL" w:hAnsi="gobCL"/>
        </w:rPr>
        <w:t>adjudicarse</w:t>
      </w:r>
      <w:r w:rsidRPr="00E834A1">
        <w:rPr>
          <w:rFonts w:ascii="gobCL" w:hAnsi="gobCL"/>
        </w:rPr>
        <w:t xml:space="preserve"> la cuota?</w:t>
      </w:r>
    </w:p>
    <w:p w:rsidR="00C74C4C" w:rsidRPr="00E834A1" w:rsidRDefault="00C74C4C" w:rsidP="00C74C4C">
      <w:pPr>
        <w:jc w:val="both"/>
        <w:rPr>
          <w:rFonts w:ascii="gobCL" w:hAnsi="gobCL"/>
          <w:sz w:val="22"/>
          <w:szCs w:val="22"/>
        </w:rPr>
      </w:pPr>
    </w:p>
    <w:p w:rsidR="00C74C4C" w:rsidRPr="00E834A1" w:rsidRDefault="00C74C4C" w:rsidP="00C74C4C">
      <w:pPr>
        <w:jc w:val="both"/>
        <w:rPr>
          <w:rFonts w:ascii="gobCL" w:hAnsi="gobCL"/>
          <w:b/>
          <w:bCs/>
          <w:color w:val="2F5496" w:themeColor="accent1" w:themeShade="BF"/>
          <w:sz w:val="22"/>
          <w:szCs w:val="22"/>
        </w:rPr>
      </w:pPr>
      <w:r w:rsidRPr="00E834A1">
        <w:rPr>
          <w:rFonts w:ascii="gobCL" w:hAnsi="gobCL"/>
          <w:b/>
          <w:bCs/>
          <w:color w:val="2F5496" w:themeColor="accent1" w:themeShade="BF"/>
          <w:sz w:val="22"/>
          <w:szCs w:val="22"/>
        </w:rPr>
        <w:t>La consulta no dice relación con aclaración de bases.</w:t>
      </w:r>
      <w:r w:rsidR="00703EC0">
        <w:rPr>
          <w:rFonts w:ascii="gobCL" w:hAnsi="gobCL"/>
          <w:b/>
          <w:bCs/>
          <w:color w:val="2F5496" w:themeColor="accent1" w:themeShade="BF"/>
          <w:sz w:val="22"/>
          <w:szCs w:val="22"/>
        </w:rPr>
        <w:t xml:space="preserve"> Con todo no es requisito indicado en bases.</w:t>
      </w:r>
    </w:p>
    <w:p w:rsidR="00824107" w:rsidRPr="00E834A1" w:rsidRDefault="00824107" w:rsidP="00C74C4C">
      <w:pPr>
        <w:pStyle w:val="Prrafodelista"/>
        <w:jc w:val="both"/>
        <w:rPr>
          <w:rFonts w:ascii="gobCL" w:hAnsi="gobCL"/>
        </w:rPr>
      </w:pPr>
    </w:p>
    <w:p w:rsidR="00D43846" w:rsidRPr="00E834A1" w:rsidRDefault="00D43846" w:rsidP="00C74C4C">
      <w:pPr>
        <w:pStyle w:val="Prrafodelista"/>
        <w:numPr>
          <w:ilvl w:val="0"/>
          <w:numId w:val="2"/>
        </w:numPr>
        <w:jc w:val="both"/>
        <w:rPr>
          <w:rFonts w:ascii="gobCL" w:hAnsi="gobCL"/>
        </w:rPr>
      </w:pPr>
      <w:r w:rsidRPr="00E834A1">
        <w:rPr>
          <w:rFonts w:ascii="gobCL" w:hAnsi="gobCL"/>
        </w:rPr>
        <w:t xml:space="preserve">El monto del Vale vista es en </w:t>
      </w:r>
      <w:proofErr w:type="spellStart"/>
      <w:r w:rsidRPr="00E834A1">
        <w:rPr>
          <w:rFonts w:ascii="gobCL" w:hAnsi="gobCL"/>
        </w:rPr>
        <w:t>UTM</w:t>
      </w:r>
      <w:proofErr w:type="spellEnd"/>
      <w:r w:rsidRPr="00E834A1">
        <w:rPr>
          <w:rFonts w:ascii="gobCL" w:hAnsi="gobCL"/>
        </w:rPr>
        <w:t xml:space="preserve">, debe ser expresado en </w:t>
      </w:r>
      <w:proofErr w:type="spellStart"/>
      <w:r w:rsidRPr="00E834A1">
        <w:rPr>
          <w:rFonts w:ascii="gobCL" w:hAnsi="gobCL"/>
        </w:rPr>
        <w:t>UTM</w:t>
      </w:r>
      <w:proofErr w:type="spellEnd"/>
      <w:r w:rsidRPr="00E834A1">
        <w:rPr>
          <w:rFonts w:ascii="gobCL" w:hAnsi="gobCL"/>
        </w:rPr>
        <w:t xml:space="preserve"> o puede ser en pesos con el valor de la </w:t>
      </w:r>
      <w:proofErr w:type="spellStart"/>
      <w:r w:rsidRPr="00E834A1">
        <w:rPr>
          <w:rFonts w:ascii="gobCL" w:hAnsi="gobCL"/>
        </w:rPr>
        <w:t>UTM</w:t>
      </w:r>
      <w:proofErr w:type="spellEnd"/>
      <w:r w:rsidRPr="00E834A1">
        <w:rPr>
          <w:rFonts w:ascii="gobCL" w:hAnsi="gobCL"/>
        </w:rPr>
        <w:t xml:space="preserve"> a un </w:t>
      </w:r>
      <w:r w:rsidR="00824107" w:rsidRPr="00E834A1">
        <w:rPr>
          <w:rFonts w:ascii="gobCL" w:hAnsi="gobCL"/>
        </w:rPr>
        <w:t>día</w:t>
      </w:r>
      <w:r w:rsidRPr="00E834A1">
        <w:rPr>
          <w:rFonts w:ascii="gobCL" w:hAnsi="gobCL"/>
        </w:rPr>
        <w:t xml:space="preserve"> determinado.</w:t>
      </w:r>
    </w:p>
    <w:p w:rsidR="00D43846" w:rsidRPr="00E834A1" w:rsidRDefault="00D43846" w:rsidP="00C74C4C">
      <w:pPr>
        <w:jc w:val="both"/>
        <w:rPr>
          <w:rFonts w:ascii="gobCL" w:hAnsi="gobCL"/>
          <w:sz w:val="22"/>
          <w:szCs w:val="22"/>
        </w:rPr>
      </w:pPr>
    </w:p>
    <w:p w:rsidR="00D43846" w:rsidRPr="00E834A1" w:rsidRDefault="00C74C4C" w:rsidP="00C74C4C">
      <w:pPr>
        <w:jc w:val="both"/>
        <w:rPr>
          <w:rFonts w:ascii="gobCL" w:hAnsi="gobCL"/>
          <w:b/>
          <w:bCs/>
          <w:snapToGrid w:val="0"/>
          <w:color w:val="2F5496" w:themeColor="accent1" w:themeShade="BF"/>
          <w:sz w:val="22"/>
          <w:szCs w:val="22"/>
          <w:lang w:val="es-ES_tradnl"/>
        </w:rPr>
      </w:pPr>
      <w:r w:rsidRPr="00E834A1">
        <w:rPr>
          <w:rFonts w:ascii="gobCL" w:hAnsi="gobCL"/>
          <w:b/>
          <w:bCs/>
          <w:snapToGrid w:val="0"/>
          <w:color w:val="2F5496" w:themeColor="accent1" w:themeShade="BF"/>
          <w:sz w:val="22"/>
          <w:szCs w:val="22"/>
          <w:lang w:val="es-ES_tradnl"/>
        </w:rPr>
        <w:t xml:space="preserve">Tal como indican las bases: </w:t>
      </w:r>
      <w:r w:rsidRPr="00E834A1">
        <w:rPr>
          <w:rFonts w:ascii="gobCL" w:hAnsi="gobCL"/>
          <w:b/>
          <w:bCs/>
          <w:snapToGrid w:val="0"/>
          <w:color w:val="2F5496" w:themeColor="accent1" w:themeShade="BF"/>
          <w:sz w:val="22"/>
          <w:szCs w:val="22"/>
          <w:lang w:val="es-ES_tradnl"/>
        </w:rPr>
        <w:t>La garantía de seriedad de la oferta deberá presentarse en su equivalente en pesos, considerando el valor de la Unidad Tributaria Mensual (</w:t>
      </w:r>
      <w:proofErr w:type="spellStart"/>
      <w:r w:rsidRPr="00E834A1">
        <w:rPr>
          <w:rFonts w:ascii="gobCL" w:hAnsi="gobCL"/>
          <w:b/>
          <w:bCs/>
          <w:snapToGrid w:val="0"/>
          <w:color w:val="2F5496" w:themeColor="accent1" w:themeShade="BF"/>
          <w:sz w:val="22"/>
          <w:szCs w:val="22"/>
          <w:lang w:val="es-ES_tradnl"/>
        </w:rPr>
        <w:t>U.T.M</w:t>
      </w:r>
      <w:proofErr w:type="spellEnd"/>
      <w:r w:rsidRPr="00E834A1">
        <w:rPr>
          <w:rFonts w:ascii="gobCL" w:hAnsi="gobCL"/>
          <w:b/>
          <w:bCs/>
          <w:snapToGrid w:val="0"/>
          <w:color w:val="2F5496" w:themeColor="accent1" w:themeShade="BF"/>
          <w:sz w:val="22"/>
          <w:szCs w:val="22"/>
          <w:lang w:val="es-ES_tradnl"/>
        </w:rPr>
        <w:t>.) al mes de noviembre de 2022.</w:t>
      </w:r>
    </w:p>
    <w:p w:rsidR="00C74C4C" w:rsidRPr="00E834A1" w:rsidRDefault="00C74C4C" w:rsidP="00C74C4C">
      <w:pPr>
        <w:jc w:val="both"/>
        <w:rPr>
          <w:rFonts w:ascii="gobCL" w:hAnsi="gobCL"/>
          <w:sz w:val="22"/>
          <w:szCs w:val="22"/>
        </w:rPr>
      </w:pPr>
    </w:p>
    <w:p w:rsidR="00C74C4C" w:rsidRPr="00E834A1" w:rsidRDefault="00C74C4C" w:rsidP="00C74C4C">
      <w:pPr>
        <w:jc w:val="both"/>
        <w:rPr>
          <w:rFonts w:ascii="gobCL" w:hAnsi="gobCL"/>
          <w:sz w:val="22"/>
          <w:szCs w:val="22"/>
        </w:rPr>
      </w:pPr>
    </w:p>
    <w:p w:rsidR="00C74C4C" w:rsidRPr="00E834A1" w:rsidRDefault="00C74C4C" w:rsidP="00C74C4C">
      <w:pPr>
        <w:jc w:val="both"/>
        <w:rPr>
          <w:rFonts w:ascii="gobCL" w:hAnsi="gobCL"/>
          <w:sz w:val="22"/>
          <w:szCs w:val="22"/>
        </w:rPr>
      </w:pPr>
    </w:p>
    <w:p w:rsidR="00C74C4C" w:rsidRPr="00E834A1" w:rsidRDefault="00C74C4C" w:rsidP="00C74C4C">
      <w:pPr>
        <w:jc w:val="both"/>
        <w:rPr>
          <w:rFonts w:ascii="gobCL" w:hAnsi="gobCL"/>
          <w:sz w:val="22"/>
          <w:szCs w:val="22"/>
        </w:rPr>
      </w:pPr>
    </w:p>
    <w:p w:rsidR="00C74C4C" w:rsidRPr="00E834A1" w:rsidRDefault="00C74C4C" w:rsidP="00C74C4C">
      <w:pPr>
        <w:jc w:val="both"/>
        <w:rPr>
          <w:rFonts w:ascii="gobCL" w:hAnsi="gobCL"/>
          <w:sz w:val="22"/>
          <w:szCs w:val="22"/>
        </w:rPr>
      </w:pPr>
    </w:p>
    <w:p w:rsidR="00D43846" w:rsidRPr="00E834A1" w:rsidRDefault="00C74C4C" w:rsidP="00C74C4C">
      <w:pPr>
        <w:jc w:val="both"/>
        <w:rPr>
          <w:rFonts w:ascii="gobCL" w:hAnsi="gobCL"/>
          <w:sz w:val="22"/>
          <w:szCs w:val="22"/>
        </w:rPr>
      </w:pPr>
      <w:r w:rsidRPr="00E834A1">
        <w:rPr>
          <w:rFonts w:ascii="gobCL" w:hAnsi="gobCL"/>
          <w:sz w:val="22"/>
          <w:szCs w:val="22"/>
        </w:rPr>
        <w:lastRenderedPageBreak/>
        <w:t>6</w:t>
      </w:r>
      <w:r w:rsidR="00D43846" w:rsidRPr="00E834A1">
        <w:rPr>
          <w:rFonts w:ascii="gobCL" w:hAnsi="gobCL"/>
          <w:sz w:val="22"/>
          <w:szCs w:val="22"/>
        </w:rPr>
        <w:t xml:space="preserve">.- Solicito </w:t>
      </w:r>
      <w:proofErr w:type="spellStart"/>
      <w:r w:rsidR="00D43846" w:rsidRPr="00E834A1">
        <w:rPr>
          <w:rFonts w:ascii="gobCL" w:hAnsi="gobCL"/>
          <w:sz w:val="22"/>
          <w:szCs w:val="22"/>
        </w:rPr>
        <w:t>Uds</w:t>
      </w:r>
      <w:proofErr w:type="spellEnd"/>
      <w:r w:rsidR="00D43846" w:rsidRPr="00E834A1">
        <w:rPr>
          <w:rFonts w:ascii="gobCL" w:hAnsi="gobCL"/>
          <w:sz w:val="22"/>
          <w:szCs w:val="22"/>
        </w:rPr>
        <w:t xml:space="preserve"> aclarar en el punto </w:t>
      </w:r>
      <w:proofErr w:type="spellStart"/>
      <w:r w:rsidR="00D43846" w:rsidRPr="00E834A1">
        <w:rPr>
          <w:rFonts w:ascii="gobCL" w:hAnsi="gobCL"/>
          <w:sz w:val="22"/>
          <w:szCs w:val="22"/>
        </w:rPr>
        <w:t>Nº</w:t>
      </w:r>
      <w:proofErr w:type="spellEnd"/>
      <w:r w:rsidRPr="00E834A1">
        <w:rPr>
          <w:rFonts w:ascii="gobCL" w:hAnsi="gobCL"/>
          <w:sz w:val="22"/>
          <w:szCs w:val="22"/>
        </w:rPr>
        <w:t xml:space="preserve"> </w:t>
      </w:r>
      <w:r w:rsidR="00D43846" w:rsidRPr="00E834A1">
        <w:rPr>
          <w:rFonts w:ascii="gobCL" w:hAnsi="gobCL"/>
          <w:sz w:val="22"/>
          <w:szCs w:val="22"/>
        </w:rPr>
        <w:t xml:space="preserve">8 referente a los </w:t>
      </w:r>
      <w:r w:rsidR="00D43846" w:rsidRPr="00E834A1">
        <w:rPr>
          <w:rFonts w:ascii="gobCL" w:hAnsi="gobCL" w:cs="gobCL"/>
          <w:sz w:val="22"/>
          <w:szCs w:val="22"/>
        </w:rPr>
        <w:t>“</w:t>
      </w:r>
      <w:r w:rsidR="00D43846" w:rsidRPr="00E834A1">
        <w:rPr>
          <w:rFonts w:ascii="gobCL" w:hAnsi="gobCL"/>
          <w:sz w:val="22"/>
          <w:szCs w:val="22"/>
        </w:rPr>
        <w:t>Antecedentes Administrativos</w:t>
      </w:r>
      <w:proofErr w:type="gramStart"/>
      <w:r w:rsidR="00D43846" w:rsidRPr="00E834A1">
        <w:rPr>
          <w:rFonts w:ascii="gobCL" w:hAnsi="gobCL" w:cs="gobCL"/>
          <w:sz w:val="22"/>
          <w:szCs w:val="22"/>
        </w:rPr>
        <w:t>”</w:t>
      </w:r>
      <w:r w:rsidR="00D43846" w:rsidRPr="00E834A1">
        <w:rPr>
          <w:rFonts w:ascii="gobCL" w:hAnsi="gobCL"/>
          <w:sz w:val="22"/>
          <w:szCs w:val="22"/>
        </w:rPr>
        <w:t xml:space="preserve"> ,</w:t>
      </w:r>
      <w:proofErr w:type="gramEnd"/>
      <w:r w:rsidR="00D43846" w:rsidRPr="00E834A1">
        <w:rPr>
          <w:sz w:val="22"/>
          <w:szCs w:val="22"/>
        </w:rPr>
        <w:t> </w:t>
      </w:r>
      <w:r w:rsidR="00D43846" w:rsidRPr="00E834A1">
        <w:rPr>
          <w:rFonts w:ascii="gobCL" w:hAnsi="gobCL"/>
          <w:sz w:val="22"/>
          <w:szCs w:val="22"/>
        </w:rPr>
        <w:t xml:space="preserve"> letra </w:t>
      </w:r>
      <w:proofErr w:type="spellStart"/>
      <w:r w:rsidR="00D43846" w:rsidRPr="00E834A1">
        <w:rPr>
          <w:rFonts w:ascii="gobCL" w:hAnsi="gobCL"/>
          <w:sz w:val="22"/>
          <w:szCs w:val="22"/>
        </w:rPr>
        <w:t>N</w:t>
      </w:r>
      <w:r w:rsidR="00D43846" w:rsidRPr="00E834A1">
        <w:rPr>
          <w:rFonts w:ascii="gobCL" w:hAnsi="gobCL" w:cs="gobCL"/>
          <w:sz w:val="22"/>
          <w:szCs w:val="22"/>
        </w:rPr>
        <w:t>º</w:t>
      </w:r>
      <w:proofErr w:type="spellEnd"/>
      <w:r w:rsidR="00D43846" w:rsidRPr="00E834A1">
        <w:rPr>
          <w:rFonts w:ascii="gobCL" w:hAnsi="gobCL"/>
          <w:sz w:val="22"/>
          <w:szCs w:val="22"/>
        </w:rPr>
        <w:t xml:space="preserve"> c) con respecto a la existencia legal y personer</w:t>
      </w:r>
      <w:r w:rsidR="00D43846" w:rsidRPr="00E834A1">
        <w:rPr>
          <w:rFonts w:ascii="gobCL" w:hAnsi="gobCL" w:cs="gobCL"/>
          <w:sz w:val="22"/>
          <w:szCs w:val="22"/>
        </w:rPr>
        <w:t>í</w:t>
      </w:r>
      <w:r w:rsidR="00D43846" w:rsidRPr="00E834A1">
        <w:rPr>
          <w:rFonts w:ascii="gobCL" w:hAnsi="gobCL"/>
          <w:sz w:val="22"/>
          <w:szCs w:val="22"/>
        </w:rPr>
        <w:t>a :</w:t>
      </w:r>
    </w:p>
    <w:p w:rsidR="00824107" w:rsidRPr="00E834A1" w:rsidRDefault="00824107" w:rsidP="00C74C4C">
      <w:pPr>
        <w:jc w:val="both"/>
        <w:rPr>
          <w:rFonts w:ascii="gobCL" w:hAnsi="gobCL"/>
          <w:sz w:val="22"/>
          <w:szCs w:val="22"/>
        </w:rPr>
      </w:pPr>
    </w:p>
    <w:p w:rsidR="00C74C4C" w:rsidRPr="00E834A1" w:rsidRDefault="00C74C4C" w:rsidP="00C74C4C">
      <w:pPr>
        <w:pStyle w:val="Prrafodelista"/>
        <w:numPr>
          <w:ilvl w:val="0"/>
          <w:numId w:val="3"/>
        </w:numPr>
        <w:jc w:val="both"/>
        <w:rPr>
          <w:rFonts w:ascii="gobCL" w:hAnsi="gobCL"/>
        </w:rPr>
      </w:pPr>
      <w:r w:rsidRPr="00E834A1">
        <w:rPr>
          <w:rFonts w:ascii="gobCL" w:hAnsi="gobCL"/>
        </w:rPr>
        <w:t xml:space="preserve">La acreditación de la existencia legal de la persona jurídica se efectúa mediante un certificado de vigencia de la sociedad emitido por el Registro de Comercio </w:t>
      </w:r>
      <w:proofErr w:type="spellStart"/>
      <w:r w:rsidRPr="00E834A1">
        <w:rPr>
          <w:rFonts w:ascii="gobCL" w:hAnsi="gobCL"/>
        </w:rPr>
        <w:t>ó</w:t>
      </w:r>
      <w:proofErr w:type="spellEnd"/>
      <w:r w:rsidRPr="00E834A1">
        <w:rPr>
          <w:rFonts w:ascii="gobCL" w:hAnsi="gobCL"/>
        </w:rPr>
        <w:t xml:space="preserve"> además se requiere acompañar copia de la escritura de constitución de la sociedad, ¿inscripción, publicación y sus respectivas modificaciones legales si es que existieran?</w:t>
      </w:r>
      <w:r w:rsidR="00D43846" w:rsidRPr="00E834A1">
        <w:rPr>
          <w:rFonts w:ascii="gobCL" w:hAnsi="gobCL"/>
        </w:rPr>
        <w:t xml:space="preserve"> </w:t>
      </w:r>
    </w:p>
    <w:p w:rsidR="00C74C4C" w:rsidRPr="00E834A1" w:rsidRDefault="00C74C4C" w:rsidP="00C74C4C">
      <w:pPr>
        <w:pStyle w:val="Prrafodelista"/>
        <w:jc w:val="both"/>
        <w:rPr>
          <w:rFonts w:ascii="gobCL" w:hAnsi="gobCL"/>
        </w:rPr>
      </w:pPr>
    </w:p>
    <w:p w:rsidR="00C74C4C" w:rsidRPr="00674DBF" w:rsidRDefault="00C74C4C" w:rsidP="00C74C4C">
      <w:pPr>
        <w:jc w:val="both"/>
        <w:rPr>
          <w:rFonts w:ascii="gobCL" w:hAnsi="gobCL"/>
          <w:b/>
          <w:bCs/>
          <w:color w:val="2F5496" w:themeColor="accent1" w:themeShade="BF"/>
          <w:sz w:val="22"/>
          <w:szCs w:val="22"/>
        </w:rPr>
      </w:pPr>
      <w:r w:rsidRPr="00674DBF">
        <w:rPr>
          <w:rFonts w:ascii="gobCL" w:hAnsi="gobCL"/>
          <w:b/>
          <w:bCs/>
          <w:color w:val="2F5496" w:themeColor="accent1" w:themeShade="BF"/>
          <w:sz w:val="22"/>
          <w:szCs w:val="22"/>
        </w:rPr>
        <w:t>Dependerá del tipo societario, por lo que se aconseja acompañar todo antecedente necesario</w:t>
      </w:r>
      <w:r w:rsidR="00674DBF">
        <w:rPr>
          <w:rFonts w:ascii="gobCL" w:hAnsi="gobCL"/>
          <w:b/>
          <w:bCs/>
          <w:color w:val="2F5496" w:themeColor="accent1" w:themeShade="BF"/>
          <w:sz w:val="22"/>
          <w:szCs w:val="22"/>
        </w:rPr>
        <w:t xml:space="preserve"> en orden a acreditar el requisito</w:t>
      </w:r>
      <w:r w:rsidRPr="00674DBF">
        <w:rPr>
          <w:rFonts w:ascii="gobCL" w:hAnsi="gobCL"/>
          <w:b/>
          <w:bCs/>
          <w:color w:val="2F5496" w:themeColor="accent1" w:themeShade="BF"/>
          <w:sz w:val="22"/>
          <w:szCs w:val="22"/>
        </w:rPr>
        <w:t>.</w:t>
      </w:r>
    </w:p>
    <w:p w:rsidR="00C74C4C" w:rsidRPr="00E834A1" w:rsidRDefault="00C74C4C" w:rsidP="00C74C4C">
      <w:pPr>
        <w:pStyle w:val="Prrafodelista"/>
        <w:jc w:val="both"/>
        <w:rPr>
          <w:rFonts w:ascii="gobCL" w:hAnsi="gobCL"/>
        </w:rPr>
      </w:pPr>
    </w:p>
    <w:p w:rsidR="00D43846" w:rsidRPr="00E834A1" w:rsidRDefault="00674DBF" w:rsidP="00C74C4C">
      <w:pPr>
        <w:pStyle w:val="Prrafodelista"/>
        <w:numPr>
          <w:ilvl w:val="0"/>
          <w:numId w:val="3"/>
        </w:numPr>
        <w:jc w:val="both"/>
        <w:rPr>
          <w:rFonts w:ascii="gobCL" w:hAnsi="gobCL"/>
        </w:rPr>
      </w:pPr>
      <w:r w:rsidRPr="00E834A1">
        <w:rPr>
          <w:rFonts w:ascii="gobCL" w:hAnsi="gobCL"/>
        </w:rPr>
        <w:t>¿Acreditación de la personería del representate legal se prueba con certificado de vigencia de poder emitido por el Registro de Comercio solamente?</w:t>
      </w:r>
      <w:r w:rsidR="00D43846" w:rsidRPr="00E834A1">
        <w:rPr>
          <w:rFonts w:ascii="gobCL" w:hAnsi="gobCL"/>
        </w:rPr>
        <w:t xml:space="preserve"> </w:t>
      </w:r>
      <w:r w:rsidRPr="00E834A1">
        <w:rPr>
          <w:rFonts w:ascii="gobCL" w:hAnsi="gobCL"/>
        </w:rPr>
        <w:t>o hay que acompa</w:t>
      </w:r>
      <w:r w:rsidRPr="00E834A1">
        <w:rPr>
          <w:rFonts w:ascii="gobCL" w:hAnsi="gobCL" w:cs="gobCL"/>
        </w:rPr>
        <w:t>ñ</w:t>
      </w:r>
      <w:r w:rsidRPr="00E834A1">
        <w:rPr>
          <w:rFonts w:ascii="gobCL" w:hAnsi="gobCL"/>
        </w:rPr>
        <w:t>ar, adem</w:t>
      </w:r>
      <w:r w:rsidRPr="00E834A1">
        <w:rPr>
          <w:rFonts w:ascii="gobCL" w:hAnsi="gobCL" w:cs="gobCL"/>
        </w:rPr>
        <w:t>á</w:t>
      </w:r>
      <w:r w:rsidRPr="00E834A1">
        <w:rPr>
          <w:rFonts w:ascii="gobCL" w:hAnsi="gobCL"/>
        </w:rPr>
        <w:t>s,</w:t>
      </w:r>
      <w:r w:rsidRPr="00E834A1">
        <w:t> </w:t>
      </w:r>
      <w:r w:rsidRPr="00E834A1">
        <w:rPr>
          <w:rFonts w:ascii="gobCL" w:hAnsi="gobCL"/>
        </w:rPr>
        <w:t>¿copia de la respectiva escritura de designación del representante legal?</w:t>
      </w:r>
    </w:p>
    <w:p w:rsidR="00C74C4C" w:rsidRPr="00E834A1" w:rsidRDefault="00C74C4C" w:rsidP="00C74C4C">
      <w:pPr>
        <w:jc w:val="both"/>
        <w:rPr>
          <w:rFonts w:ascii="gobCL" w:hAnsi="gobCL"/>
          <w:sz w:val="22"/>
          <w:szCs w:val="22"/>
        </w:rPr>
      </w:pPr>
    </w:p>
    <w:p w:rsidR="00C74C4C" w:rsidRPr="00E834A1" w:rsidRDefault="00C74C4C" w:rsidP="00C74C4C">
      <w:pPr>
        <w:jc w:val="both"/>
        <w:rPr>
          <w:rFonts w:ascii="gobCL" w:hAnsi="gobCL"/>
          <w:b/>
          <w:bCs/>
          <w:color w:val="2F5496" w:themeColor="accent1" w:themeShade="BF"/>
          <w:sz w:val="22"/>
          <w:szCs w:val="22"/>
        </w:rPr>
      </w:pPr>
      <w:r w:rsidRPr="00E834A1">
        <w:rPr>
          <w:rFonts w:ascii="gobCL" w:hAnsi="gobCL"/>
          <w:b/>
          <w:bCs/>
          <w:color w:val="2F5496" w:themeColor="accent1" w:themeShade="BF"/>
          <w:sz w:val="22"/>
          <w:szCs w:val="22"/>
        </w:rPr>
        <w:t xml:space="preserve">Dependerá del tipo societario y administración de </w:t>
      </w:r>
      <w:r w:rsidRPr="00E834A1">
        <w:rPr>
          <w:rFonts w:ascii="gobCL" w:hAnsi="gobCL"/>
          <w:b/>
          <w:bCs/>
          <w:color w:val="2F5496" w:themeColor="accent1" w:themeShade="BF"/>
          <w:sz w:val="22"/>
          <w:szCs w:val="22"/>
        </w:rPr>
        <w:t xml:space="preserve">esta, </w:t>
      </w:r>
      <w:r w:rsidRPr="00E834A1">
        <w:rPr>
          <w:rFonts w:ascii="gobCL" w:hAnsi="gobCL"/>
          <w:b/>
          <w:bCs/>
          <w:color w:val="2F5496" w:themeColor="accent1" w:themeShade="BF"/>
          <w:sz w:val="22"/>
          <w:szCs w:val="22"/>
        </w:rPr>
        <w:t>por lo que se aconseja acompañar todo antecedente necesario</w:t>
      </w:r>
      <w:r w:rsidR="00674DBF">
        <w:rPr>
          <w:rFonts w:ascii="gobCL" w:hAnsi="gobCL"/>
          <w:b/>
          <w:bCs/>
          <w:color w:val="2F5496" w:themeColor="accent1" w:themeShade="BF"/>
          <w:sz w:val="22"/>
          <w:szCs w:val="22"/>
        </w:rPr>
        <w:t>,</w:t>
      </w:r>
      <w:r w:rsidR="00674DBF" w:rsidRPr="00674DBF">
        <w:rPr>
          <w:rFonts w:ascii="gobCL" w:hAnsi="gobCL"/>
          <w:b/>
          <w:bCs/>
          <w:color w:val="2F5496" w:themeColor="accent1" w:themeShade="BF"/>
          <w:sz w:val="22"/>
          <w:szCs w:val="22"/>
        </w:rPr>
        <w:t xml:space="preserve"> </w:t>
      </w:r>
      <w:r w:rsidR="00674DBF">
        <w:rPr>
          <w:rFonts w:ascii="gobCL" w:hAnsi="gobCL"/>
          <w:b/>
          <w:bCs/>
          <w:color w:val="2F5496" w:themeColor="accent1" w:themeShade="BF"/>
          <w:sz w:val="22"/>
          <w:szCs w:val="22"/>
        </w:rPr>
        <w:t>en orden a acreditar el requisito</w:t>
      </w:r>
      <w:r w:rsidRPr="00E834A1">
        <w:rPr>
          <w:rFonts w:ascii="gobCL" w:hAnsi="gobCL"/>
          <w:b/>
          <w:bCs/>
          <w:color w:val="2F5496" w:themeColor="accent1" w:themeShade="BF"/>
          <w:sz w:val="22"/>
          <w:szCs w:val="22"/>
        </w:rPr>
        <w:t>.</w:t>
      </w:r>
    </w:p>
    <w:p w:rsidR="00D43846" w:rsidRPr="00E834A1" w:rsidRDefault="00D43846" w:rsidP="00C74C4C">
      <w:pPr>
        <w:jc w:val="both"/>
        <w:rPr>
          <w:rFonts w:ascii="gobCL" w:hAnsi="gobCL"/>
          <w:sz w:val="22"/>
          <w:szCs w:val="22"/>
        </w:rPr>
      </w:pPr>
    </w:p>
    <w:p w:rsidR="00D43846" w:rsidRPr="00E834A1" w:rsidRDefault="00C74C4C" w:rsidP="00C74C4C">
      <w:pPr>
        <w:jc w:val="both"/>
        <w:rPr>
          <w:rFonts w:ascii="gobCL" w:hAnsi="gobCL"/>
          <w:sz w:val="22"/>
          <w:szCs w:val="22"/>
        </w:rPr>
      </w:pPr>
      <w:r w:rsidRPr="00E834A1">
        <w:rPr>
          <w:rFonts w:ascii="gobCL" w:hAnsi="gobCL"/>
          <w:sz w:val="22"/>
          <w:szCs w:val="22"/>
        </w:rPr>
        <w:t>7.- Solicito</w:t>
      </w:r>
      <w:r w:rsidR="00D43846" w:rsidRPr="00E834A1">
        <w:rPr>
          <w:rFonts w:ascii="gobCL" w:hAnsi="gobCL"/>
          <w:sz w:val="22"/>
          <w:szCs w:val="22"/>
        </w:rPr>
        <w:t xml:space="preserve"> aclarar en el punto Nº</w:t>
      </w:r>
      <w:r w:rsidRPr="00E834A1">
        <w:rPr>
          <w:rFonts w:ascii="gobCL" w:hAnsi="gobCL"/>
          <w:sz w:val="22"/>
          <w:szCs w:val="22"/>
        </w:rPr>
        <w:t>6,</w:t>
      </w:r>
      <w:r w:rsidR="00D43846" w:rsidRPr="00E834A1">
        <w:rPr>
          <w:rFonts w:ascii="gobCL" w:hAnsi="gobCL"/>
          <w:sz w:val="22"/>
          <w:szCs w:val="22"/>
        </w:rPr>
        <w:t xml:space="preserve"> letra b) referente a los “</w:t>
      </w:r>
      <w:r w:rsidRPr="00E834A1">
        <w:rPr>
          <w:rFonts w:ascii="gobCL" w:hAnsi="gobCL"/>
          <w:sz w:val="22"/>
          <w:szCs w:val="22"/>
        </w:rPr>
        <w:t>Participantes”</w:t>
      </w:r>
      <w:r w:rsidRPr="00E834A1">
        <w:rPr>
          <w:sz w:val="22"/>
          <w:szCs w:val="22"/>
        </w:rPr>
        <w:t> </w:t>
      </w:r>
      <w:r w:rsidRPr="00E834A1">
        <w:rPr>
          <w:rFonts w:ascii="gobCL" w:hAnsi="gobCL"/>
          <w:sz w:val="22"/>
          <w:szCs w:val="22"/>
        </w:rPr>
        <w:t>si</w:t>
      </w:r>
      <w:r w:rsidR="00D43846" w:rsidRPr="00E834A1">
        <w:rPr>
          <w:rFonts w:ascii="gobCL" w:hAnsi="gobCL"/>
          <w:sz w:val="22"/>
          <w:szCs w:val="22"/>
        </w:rPr>
        <w:t xml:space="preserve"> las personas jur</w:t>
      </w:r>
      <w:r w:rsidR="00D43846" w:rsidRPr="00E834A1">
        <w:rPr>
          <w:rFonts w:ascii="gobCL" w:hAnsi="gobCL" w:cs="gobCL"/>
          <w:sz w:val="22"/>
          <w:szCs w:val="22"/>
        </w:rPr>
        <w:t>í</w:t>
      </w:r>
      <w:r w:rsidR="00D43846" w:rsidRPr="00E834A1">
        <w:rPr>
          <w:rFonts w:ascii="gobCL" w:hAnsi="gobCL"/>
          <w:sz w:val="22"/>
          <w:szCs w:val="22"/>
        </w:rPr>
        <w:t xml:space="preserve">dicas constituidas legalmente en Chile que postulen a la subasta requieren necesariamente encontrarse inscritas en el Registro Artesana o </w:t>
      </w:r>
      <w:r w:rsidR="00674DBF">
        <w:rPr>
          <w:rFonts w:ascii="gobCL" w:hAnsi="gobCL"/>
          <w:sz w:val="22"/>
          <w:szCs w:val="22"/>
        </w:rPr>
        <w:t>e</w:t>
      </w:r>
      <w:r w:rsidR="00D43846" w:rsidRPr="00E834A1">
        <w:rPr>
          <w:rFonts w:ascii="gobCL" w:hAnsi="gobCL"/>
          <w:sz w:val="22"/>
          <w:szCs w:val="22"/>
        </w:rPr>
        <w:t xml:space="preserve">l Registro Nacional Pesquero Industrial o en el Registro de plantas de </w:t>
      </w:r>
      <w:r w:rsidRPr="00E834A1">
        <w:rPr>
          <w:rFonts w:ascii="gobCL" w:hAnsi="gobCL"/>
          <w:sz w:val="22"/>
          <w:szCs w:val="22"/>
        </w:rPr>
        <w:t>transformación.</w:t>
      </w:r>
    </w:p>
    <w:p w:rsidR="00C74C4C" w:rsidRPr="00E834A1" w:rsidRDefault="00C74C4C" w:rsidP="00C74C4C">
      <w:pPr>
        <w:jc w:val="both"/>
        <w:rPr>
          <w:rFonts w:ascii="gobCL" w:hAnsi="gobCL"/>
          <w:b/>
          <w:bCs/>
          <w:color w:val="2F5496" w:themeColor="accent1" w:themeShade="BF"/>
          <w:sz w:val="22"/>
          <w:szCs w:val="22"/>
        </w:rPr>
      </w:pPr>
    </w:p>
    <w:p w:rsidR="00C74C4C" w:rsidRPr="00E834A1" w:rsidRDefault="00C74C4C" w:rsidP="00C74C4C">
      <w:pPr>
        <w:jc w:val="both"/>
        <w:rPr>
          <w:rFonts w:ascii="gobCL" w:hAnsi="gobCL"/>
          <w:sz w:val="22"/>
          <w:szCs w:val="22"/>
        </w:rPr>
      </w:pPr>
      <w:r w:rsidRPr="00E834A1">
        <w:rPr>
          <w:rFonts w:ascii="gobCL" w:hAnsi="gobCL"/>
          <w:b/>
          <w:bCs/>
          <w:color w:val="2F5496" w:themeColor="accent1" w:themeShade="BF"/>
          <w:sz w:val="22"/>
          <w:szCs w:val="22"/>
        </w:rPr>
        <w:t xml:space="preserve">No es requisito excluyente, tal como se indica en las bases: </w:t>
      </w:r>
      <w:r w:rsidRPr="00E834A1">
        <w:rPr>
          <w:rFonts w:ascii="gobCL" w:hAnsi="gobCL" w:cs="Arial"/>
          <w:b/>
          <w:bCs/>
          <w:snapToGrid w:val="0"/>
          <w:color w:val="2F5496" w:themeColor="accent1" w:themeShade="BF"/>
          <w:sz w:val="22"/>
          <w:szCs w:val="22"/>
          <w:lang w:val="es-ES_tradnl"/>
        </w:rPr>
        <w:t xml:space="preserve">Las personas naturales o jurídicas que se encuentren inscritas en el Registro Artesanal, Registro Nacional Pesquero Industrial o en el Registro de plantas de transformación a que aluden el artículo 2° </w:t>
      </w:r>
      <w:proofErr w:type="spellStart"/>
      <w:r w:rsidRPr="00E834A1">
        <w:rPr>
          <w:rFonts w:ascii="gobCL" w:hAnsi="gobCL" w:cs="Arial"/>
          <w:b/>
          <w:bCs/>
          <w:snapToGrid w:val="0"/>
          <w:color w:val="2F5496" w:themeColor="accent1" w:themeShade="BF"/>
          <w:sz w:val="22"/>
          <w:szCs w:val="22"/>
          <w:lang w:val="es-ES_tradnl"/>
        </w:rPr>
        <w:t>N°</w:t>
      </w:r>
      <w:proofErr w:type="spellEnd"/>
      <w:r w:rsidRPr="00E834A1">
        <w:rPr>
          <w:rFonts w:ascii="gobCL" w:hAnsi="gobCL" w:cs="Arial"/>
          <w:b/>
          <w:bCs/>
          <w:snapToGrid w:val="0"/>
          <w:color w:val="2F5496" w:themeColor="accent1" w:themeShade="BF"/>
          <w:sz w:val="22"/>
          <w:szCs w:val="22"/>
          <w:lang w:val="es-ES_tradnl"/>
        </w:rPr>
        <w:t xml:space="preserve"> 2, </w:t>
      </w:r>
      <w:proofErr w:type="spellStart"/>
      <w:r w:rsidRPr="00E834A1">
        <w:rPr>
          <w:rFonts w:ascii="gobCL" w:hAnsi="gobCL" w:cs="Arial"/>
          <w:b/>
          <w:bCs/>
          <w:snapToGrid w:val="0"/>
          <w:color w:val="2F5496" w:themeColor="accent1" w:themeShade="BF"/>
          <w:sz w:val="22"/>
          <w:szCs w:val="22"/>
          <w:lang w:val="es-ES_tradnl"/>
        </w:rPr>
        <w:t>N°</w:t>
      </w:r>
      <w:proofErr w:type="spellEnd"/>
      <w:r w:rsidRPr="00E834A1">
        <w:rPr>
          <w:rFonts w:ascii="gobCL" w:hAnsi="gobCL" w:cs="Arial"/>
          <w:b/>
          <w:bCs/>
          <w:snapToGrid w:val="0"/>
          <w:color w:val="2F5496" w:themeColor="accent1" w:themeShade="BF"/>
          <w:sz w:val="22"/>
          <w:szCs w:val="22"/>
          <w:lang w:val="es-ES_tradnl"/>
        </w:rPr>
        <w:t xml:space="preserve"> 39 y </w:t>
      </w:r>
      <w:proofErr w:type="spellStart"/>
      <w:r w:rsidRPr="00E834A1">
        <w:rPr>
          <w:rFonts w:ascii="gobCL" w:hAnsi="gobCL" w:cs="Arial"/>
          <w:b/>
          <w:bCs/>
          <w:snapToGrid w:val="0"/>
          <w:color w:val="2F5496" w:themeColor="accent1" w:themeShade="BF"/>
          <w:sz w:val="22"/>
          <w:szCs w:val="22"/>
          <w:lang w:val="es-ES_tradnl"/>
        </w:rPr>
        <w:t>N°</w:t>
      </w:r>
      <w:proofErr w:type="spellEnd"/>
      <w:r w:rsidRPr="00E834A1">
        <w:rPr>
          <w:rFonts w:ascii="gobCL" w:hAnsi="gobCL" w:cs="Arial"/>
          <w:b/>
          <w:bCs/>
          <w:snapToGrid w:val="0"/>
          <w:color w:val="2F5496" w:themeColor="accent1" w:themeShade="BF"/>
          <w:sz w:val="22"/>
          <w:szCs w:val="22"/>
          <w:lang w:val="es-ES_tradnl"/>
        </w:rPr>
        <w:t xml:space="preserve"> 40 de la Ley de Pesca, se entenderá acreditado el cumplimiento de los antecedentes señalados en los números anteriores, en la medida que acompañen certificados de inscripción en los referidos Registros con una antigüedad no superior a un mes contado desde la fecha de la subasta.</w:t>
      </w:r>
      <w:r w:rsidRPr="00E834A1">
        <w:rPr>
          <w:rFonts w:ascii="gobCL" w:hAnsi="gobCL" w:cs="Arial"/>
          <w:b/>
          <w:bCs/>
          <w:snapToGrid w:val="0"/>
          <w:color w:val="2F5496" w:themeColor="accent1" w:themeShade="BF"/>
          <w:sz w:val="22"/>
          <w:szCs w:val="22"/>
          <w:lang w:val="es-ES_tradnl"/>
        </w:rPr>
        <w:t xml:space="preserve"> Por tanto, este documento basta para acreditar los otros puntos indicados en bases</w:t>
      </w:r>
      <w:r w:rsidRPr="00E834A1">
        <w:rPr>
          <w:rFonts w:ascii="gobCL" w:hAnsi="gobCL" w:cs="Arial"/>
          <w:snapToGrid w:val="0"/>
          <w:sz w:val="22"/>
          <w:szCs w:val="22"/>
          <w:lang w:val="es-ES_tradnl"/>
        </w:rPr>
        <w:t>.</w:t>
      </w:r>
    </w:p>
    <w:p w:rsidR="00D43846" w:rsidRPr="00E834A1" w:rsidRDefault="00D43846" w:rsidP="00C74C4C">
      <w:pPr>
        <w:jc w:val="both"/>
        <w:rPr>
          <w:rFonts w:ascii="gobCL" w:hAnsi="gobCL"/>
          <w:sz w:val="22"/>
          <w:szCs w:val="22"/>
        </w:rPr>
      </w:pPr>
    </w:p>
    <w:p w:rsidR="0060778D" w:rsidRPr="00E834A1" w:rsidRDefault="00C74C4C" w:rsidP="00C74C4C">
      <w:pPr>
        <w:jc w:val="both"/>
        <w:rPr>
          <w:rFonts w:ascii="gobCL" w:hAnsi="gobCL"/>
          <w:sz w:val="22"/>
          <w:szCs w:val="22"/>
        </w:rPr>
      </w:pPr>
      <w:r w:rsidRPr="00E834A1">
        <w:rPr>
          <w:rFonts w:ascii="gobCL" w:hAnsi="gobCL"/>
          <w:sz w:val="22"/>
          <w:szCs w:val="22"/>
        </w:rPr>
        <w:t xml:space="preserve">8.- </w:t>
      </w:r>
      <w:r w:rsidR="0060778D" w:rsidRPr="00E834A1">
        <w:rPr>
          <w:rFonts w:ascii="gobCL" w:hAnsi="gobCL"/>
          <w:sz w:val="22"/>
          <w:szCs w:val="22"/>
        </w:rPr>
        <w:t xml:space="preserve">En relación a la </w:t>
      </w:r>
      <w:r w:rsidRPr="00E834A1">
        <w:rPr>
          <w:rFonts w:ascii="gobCL" w:hAnsi="gobCL"/>
          <w:sz w:val="22"/>
          <w:szCs w:val="22"/>
        </w:rPr>
        <w:t>subasta</w:t>
      </w:r>
      <w:r w:rsidRPr="00E834A1">
        <w:rPr>
          <w:sz w:val="22"/>
          <w:szCs w:val="22"/>
        </w:rPr>
        <w:t> </w:t>
      </w:r>
      <w:r w:rsidRPr="00E834A1">
        <w:rPr>
          <w:rFonts w:ascii="gobCL" w:hAnsi="gobCL"/>
          <w:sz w:val="22"/>
          <w:szCs w:val="22"/>
        </w:rPr>
        <w:t>ordinaria</w:t>
      </w:r>
      <w:r w:rsidR="0060778D" w:rsidRPr="00E834A1">
        <w:rPr>
          <w:rFonts w:ascii="gobCL" w:hAnsi="gobCL"/>
          <w:sz w:val="22"/>
          <w:szCs w:val="22"/>
        </w:rPr>
        <w:t xml:space="preserve"> de</w:t>
      </w:r>
      <w:r w:rsidR="0060778D" w:rsidRPr="00E834A1">
        <w:rPr>
          <w:sz w:val="22"/>
          <w:szCs w:val="22"/>
        </w:rPr>
        <w:t> </w:t>
      </w:r>
      <w:r w:rsidR="0060778D" w:rsidRPr="00E834A1">
        <w:rPr>
          <w:rFonts w:ascii="gobCL" w:hAnsi="gobCL"/>
          <w:sz w:val="22"/>
          <w:szCs w:val="22"/>
        </w:rPr>
        <w:t xml:space="preserve">permisos extraordinarios de bacalao </w:t>
      </w:r>
      <w:r w:rsidRPr="00E834A1">
        <w:rPr>
          <w:rFonts w:ascii="gobCL" w:hAnsi="gobCL"/>
          <w:sz w:val="22"/>
          <w:szCs w:val="22"/>
        </w:rPr>
        <w:t>según</w:t>
      </w:r>
      <w:r w:rsidR="0060778D" w:rsidRPr="00E834A1">
        <w:rPr>
          <w:rFonts w:ascii="gobCL" w:hAnsi="gobCL"/>
          <w:sz w:val="22"/>
          <w:szCs w:val="22"/>
        </w:rPr>
        <w:t xml:space="preserve"> </w:t>
      </w:r>
      <w:proofErr w:type="spellStart"/>
      <w:r w:rsidR="0060778D" w:rsidRPr="00E834A1">
        <w:rPr>
          <w:rFonts w:ascii="gobCL" w:hAnsi="gobCL"/>
          <w:sz w:val="22"/>
          <w:szCs w:val="22"/>
        </w:rPr>
        <w:t>R.</w:t>
      </w:r>
      <w:proofErr w:type="gramStart"/>
      <w:r w:rsidR="0060778D" w:rsidRPr="00E834A1">
        <w:rPr>
          <w:rFonts w:ascii="gobCL" w:hAnsi="gobCL"/>
          <w:sz w:val="22"/>
          <w:szCs w:val="22"/>
        </w:rPr>
        <w:t>EX.N</w:t>
      </w:r>
      <w:proofErr w:type="gramEnd"/>
      <w:r w:rsidR="0060778D" w:rsidRPr="00E834A1">
        <w:rPr>
          <w:rFonts w:ascii="gobCL" w:hAnsi="gobCL" w:cs="gobCL"/>
          <w:sz w:val="22"/>
          <w:szCs w:val="22"/>
        </w:rPr>
        <w:t>°</w:t>
      </w:r>
      <w:proofErr w:type="spellEnd"/>
      <w:r w:rsidR="0060778D" w:rsidRPr="00E834A1">
        <w:rPr>
          <w:rFonts w:ascii="gobCL" w:hAnsi="gobCL"/>
          <w:sz w:val="22"/>
          <w:szCs w:val="22"/>
        </w:rPr>
        <w:t xml:space="preserve"> 2395</w:t>
      </w:r>
      <w:r w:rsidR="0060778D" w:rsidRPr="00E834A1">
        <w:rPr>
          <w:sz w:val="22"/>
          <w:szCs w:val="22"/>
        </w:rPr>
        <w:t> </w:t>
      </w:r>
      <w:r w:rsidR="0060778D" w:rsidRPr="00E834A1">
        <w:rPr>
          <w:rFonts w:ascii="gobCL" w:hAnsi="gobCL"/>
          <w:sz w:val="22"/>
          <w:szCs w:val="22"/>
        </w:rPr>
        <w:t xml:space="preserve"> y en </w:t>
      </w:r>
      <w:r w:rsidRPr="00E834A1">
        <w:rPr>
          <w:rFonts w:ascii="gobCL" w:hAnsi="gobCL"/>
          <w:sz w:val="22"/>
          <w:szCs w:val="22"/>
        </w:rPr>
        <w:t>atención</w:t>
      </w:r>
      <w:r w:rsidR="0060778D" w:rsidRPr="00E834A1">
        <w:rPr>
          <w:rFonts w:ascii="gobCL" w:hAnsi="gobCL"/>
          <w:sz w:val="22"/>
          <w:szCs w:val="22"/>
        </w:rPr>
        <w:t xml:space="preserve"> a que los requisitos de los participantes son diametralmente</w:t>
      </w:r>
      <w:r w:rsidR="0060778D" w:rsidRPr="00E834A1">
        <w:rPr>
          <w:sz w:val="22"/>
          <w:szCs w:val="22"/>
        </w:rPr>
        <w:t> </w:t>
      </w:r>
      <w:r w:rsidR="0060778D" w:rsidRPr="00E834A1">
        <w:rPr>
          <w:rFonts w:ascii="gobCL" w:hAnsi="gobCL"/>
          <w:sz w:val="22"/>
          <w:szCs w:val="22"/>
        </w:rPr>
        <w:t xml:space="preserve"> distintos a los de las bases anteriores</w:t>
      </w:r>
      <w:r w:rsidR="0060778D" w:rsidRPr="00E834A1">
        <w:rPr>
          <w:sz w:val="22"/>
          <w:szCs w:val="22"/>
        </w:rPr>
        <w:t> </w:t>
      </w:r>
      <w:r w:rsidR="0060778D" w:rsidRPr="00E834A1">
        <w:rPr>
          <w:rFonts w:ascii="gobCL" w:hAnsi="gobCL"/>
          <w:sz w:val="22"/>
          <w:szCs w:val="22"/>
        </w:rPr>
        <w:t xml:space="preserve"> quisiera formular las siguientes preguntas:</w:t>
      </w:r>
    </w:p>
    <w:p w:rsidR="0060778D" w:rsidRPr="00E834A1" w:rsidRDefault="0060778D" w:rsidP="00C74C4C">
      <w:pPr>
        <w:jc w:val="both"/>
        <w:rPr>
          <w:rFonts w:ascii="gobCL" w:hAnsi="gobCL"/>
          <w:sz w:val="22"/>
          <w:szCs w:val="22"/>
        </w:rPr>
      </w:pPr>
    </w:p>
    <w:p w:rsidR="0060778D" w:rsidRPr="00E834A1" w:rsidRDefault="0060778D" w:rsidP="00C74C4C">
      <w:pPr>
        <w:pStyle w:val="Prrafodelista"/>
        <w:numPr>
          <w:ilvl w:val="0"/>
          <w:numId w:val="4"/>
        </w:numPr>
        <w:jc w:val="both"/>
        <w:rPr>
          <w:rFonts w:ascii="gobCL" w:hAnsi="gobCL"/>
        </w:rPr>
      </w:pPr>
      <w:r w:rsidRPr="00E834A1">
        <w:rPr>
          <w:rFonts w:ascii="gobCL" w:hAnsi="gobCL"/>
        </w:rPr>
        <w:t xml:space="preserve"> </w:t>
      </w:r>
      <w:r w:rsidR="00C74C4C" w:rsidRPr="00E834A1">
        <w:rPr>
          <w:rFonts w:ascii="gobCL" w:hAnsi="gobCL"/>
        </w:rPr>
        <w:t xml:space="preserve">¿En mi calidad de pescador artesanal inscrito en el </w:t>
      </w:r>
      <w:proofErr w:type="spellStart"/>
      <w:r w:rsidR="00C74C4C" w:rsidRPr="00E834A1">
        <w:rPr>
          <w:rFonts w:ascii="gobCL" w:hAnsi="gobCL"/>
        </w:rPr>
        <w:t>RPA</w:t>
      </w:r>
      <w:proofErr w:type="spellEnd"/>
      <w:r w:rsidR="00C74C4C" w:rsidRPr="00E834A1">
        <w:t> </w:t>
      </w:r>
      <w:r w:rsidR="00C74C4C" w:rsidRPr="00E834A1">
        <w:rPr>
          <w:rFonts w:ascii="gobCL" w:hAnsi="gobCL"/>
        </w:rPr>
        <w:t xml:space="preserve"> 230168 bajo la categor</w:t>
      </w:r>
      <w:r w:rsidR="00C74C4C" w:rsidRPr="00E834A1">
        <w:rPr>
          <w:rFonts w:ascii="gobCL" w:hAnsi="gobCL" w:cs="gobCL"/>
        </w:rPr>
        <w:t>í</w:t>
      </w:r>
      <w:r w:rsidR="00C74C4C" w:rsidRPr="00E834A1">
        <w:rPr>
          <w:rFonts w:ascii="gobCL" w:hAnsi="gobCL"/>
        </w:rPr>
        <w:t>a de Recolector de orilla me encuentro habilitado para participar en la subasta pese a no</w:t>
      </w:r>
      <w:r w:rsidR="00C74C4C" w:rsidRPr="00E834A1">
        <w:t> </w:t>
      </w:r>
      <w:r w:rsidR="00C74C4C" w:rsidRPr="00E834A1">
        <w:rPr>
          <w:rFonts w:ascii="gobCL" w:hAnsi="gobCL"/>
        </w:rPr>
        <w:t>contar como recurso asignado el recurso bacalao?</w:t>
      </w:r>
    </w:p>
    <w:p w:rsidR="00C74C4C" w:rsidRPr="00E834A1" w:rsidRDefault="00C74C4C" w:rsidP="00C74C4C">
      <w:pPr>
        <w:ind w:left="360"/>
        <w:jc w:val="both"/>
        <w:rPr>
          <w:rFonts w:ascii="gobCL" w:hAnsi="gobCL"/>
          <w:sz w:val="22"/>
          <w:szCs w:val="22"/>
        </w:rPr>
      </w:pPr>
    </w:p>
    <w:p w:rsidR="00C74C4C" w:rsidRPr="00E834A1" w:rsidRDefault="00C74C4C" w:rsidP="00C74C4C">
      <w:pPr>
        <w:ind w:left="360"/>
        <w:jc w:val="both"/>
        <w:rPr>
          <w:rFonts w:ascii="gobCL" w:hAnsi="gobCL"/>
          <w:b/>
          <w:bCs/>
          <w:color w:val="2F5496" w:themeColor="accent1" w:themeShade="BF"/>
          <w:sz w:val="22"/>
          <w:szCs w:val="22"/>
        </w:rPr>
      </w:pPr>
      <w:r w:rsidRPr="00E834A1">
        <w:rPr>
          <w:rFonts w:ascii="gobCL" w:hAnsi="gobCL"/>
          <w:b/>
          <w:bCs/>
          <w:color w:val="2F5496" w:themeColor="accent1" w:themeShade="BF"/>
          <w:sz w:val="22"/>
          <w:szCs w:val="22"/>
        </w:rPr>
        <w:lastRenderedPageBreak/>
        <w:t xml:space="preserve">La resolución consultada </w:t>
      </w:r>
      <w:proofErr w:type="spellStart"/>
      <w:r w:rsidRPr="00E834A1">
        <w:rPr>
          <w:rFonts w:ascii="gobCL" w:hAnsi="gobCL"/>
          <w:b/>
          <w:bCs/>
          <w:color w:val="2F5496" w:themeColor="accent1" w:themeShade="BF"/>
          <w:sz w:val="22"/>
          <w:szCs w:val="22"/>
        </w:rPr>
        <w:t>N°</w:t>
      </w:r>
      <w:proofErr w:type="spellEnd"/>
      <w:r w:rsidRPr="00E834A1">
        <w:rPr>
          <w:rFonts w:ascii="gobCL" w:hAnsi="gobCL"/>
          <w:b/>
          <w:bCs/>
          <w:color w:val="2F5496" w:themeColor="accent1" w:themeShade="BF"/>
          <w:sz w:val="22"/>
          <w:szCs w:val="22"/>
        </w:rPr>
        <w:t xml:space="preserve"> 2395-2022 dice relación con la subasta PEP ordinaria de bacalao en ella pueden participar:</w:t>
      </w:r>
    </w:p>
    <w:p w:rsidR="00C74C4C" w:rsidRPr="00E834A1" w:rsidRDefault="00C74C4C" w:rsidP="00C74C4C">
      <w:pPr>
        <w:ind w:left="360"/>
        <w:jc w:val="both"/>
        <w:rPr>
          <w:rFonts w:ascii="gobCL" w:hAnsi="gobCL"/>
          <w:b/>
          <w:bCs/>
          <w:color w:val="2F5496" w:themeColor="accent1" w:themeShade="BF"/>
          <w:sz w:val="22"/>
          <w:szCs w:val="22"/>
        </w:rPr>
      </w:pPr>
    </w:p>
    <w:p w:rsidR="00C74C4C" w:rsidRPr="00E834A1" w:rsidRDefault="00C74C4C" w:rsidP="00C74C4C">
      <w:pPr>
        <w:pStyle w:val="Prrafodelista"/>
        <w:numPr>
          <w:ilvl w:val="0"/>
          <w:numId w:val="4"/>
        </w:numPr>
        <w:overflowPunct w:val="0"/>
        <w:autoSpaceDE w:val="0"/>
        <w:autoSpaceDN w:val="0"/>
        <w:adjustRightInd w:val="0"/>
        <w:jc w:val="both"/>
        <w:textAlignment w:val="baseline"/>
        <w:rPr>
          <w:rFonts w:ascii="gobCL" w:hAnsi="gobCL" w:cs="Arial"/>
          <w:b/>
          <w:bCs/>
          <w:color w:val="2F5496" w:themeColor="accent1" w:themeShade="BF"/>
          <w:lang w:val="es-ES_tradnl"/>
        </w:rPr>
      </w:pPr>
      <w:r w:rsidRPr="00E834A1">
        <w:rPr>
          <w:rFonts w:ascii="gobCL" w:hAnsi="gobCL" w:cs="Arial"/>
          <w:b/>
          <w:bCs/>
          <w:color w:val="2F5496" w:themeColor="accent1" w:themeShade="BF"/>
          <w:lang w:val="es-ES_tradnl"/>
        </w:rPr>
        <w:t xml:space="preserve">Las personas naturales chilenas y extranjeras con residencia definitiva en el país. </w:t>
      </w:r>
    </w:p>
    <w:p w:rsidR="00C74C4C" w:rsidRPr="00E834A1" w:rsidRDefault="00C74C4C" w:rsidP="00C74C4C">
      <w:pPr>
        <w:overflowPunct w:val="0"/>
        <w:autoSpaceDE w:val="0"/>
        <w:autoSpaceDN w:val="0"/>
        <w:adjustRightInd w:val="0"/>
        <w:ind w:left="1560"/>
        <w:jc w:val="both"/>
        <w:textAlignment w:val="baseline"/>
        <w:rPr>
          <w:rFonts w:ascii="gobCL" w:hAnsi="gobCL" w:cs="Arial"/>
          <w:b/>
          <w:bCs/>
          <w:color w:val="2F5496" w:themeColor="accent1" w:themeShade="BF"/>
          <w:sz w:val="22"/>
          <w:szCs w:val="22"/>
          <w:lang w:val="es-ES_tradnl"/>
        </w:rPr>
      </w:pPr>
    </w:p>
    <w:p w:rsidR="00C74C4C" w:rsidRPr="00E834A1" w:rsidRDefault="00C74C4C" w:rsidP="00C74C4C">
      <w:pPr>
        <w:pStyle w:val="Prrafodelista"/>
        <w:numPr>
          <w:ilvl w:val="0"/>
          <w:numId w:val="4"/>
        </w:numPr>
        <w:overflowPunct w:val="0"/>
        <w:autoSpaceDE w:val="0"/>
        <w:autoSpaceDN w:val="0"/>
        <w:adjustRightInd w:val="0"/>
        <w:jc w:val="both"/>
        <w:textAlignment w:val="baseline"/>
        <w:rPr>
          <w:rFonts w:ascii="gobCL" w:hAnsi="gobCL" w:cs="Arial"/>
          <w:b/>
          <w:bCs/>
          <w:color w:val="2F5496" w:themeColor="accent1" w:themeShade="BF"/>
          <w:lang w:val="es-ES_tradnl"/>
        </w:rPr>
      </w:pPr>
      <w:r w:rsidRPr="00E834A1">
        <w:rPr>
          <w:rFonts w:ascii="gobCL" w:hAnsi="gobCL" w:cs="Arial"/>
          <w:b/>
          <w:bCs/>
          <w:color w:val="2F5496" w:themeColor="accent1" w:themeShade="BF"/>
          <w:lang w:val="es-ES_tradnl"/>
        </w:rPr>
        <w:t xml:space="preserve">Las personas jurídicas constituidas legalmente en Chile. </w:t>
      </w:r>
    </w:p>
    <w:p w:rsidR="00C74C4C" w:rsidRPr="00E834A1" w:rsidRDefault="00C74C4C" w:rsidP="00C74C4C">
      <w:pPr>
        <w:pStyle w:val="Prrafodelista"/>
        <w:rPr>
          <w:rFonts w:ascii="gobCL" w:hAnsi="gobCL" w:cs="Arial"/>
          <w:b/>
          <w:bCs/>
          <w:color w:val="2F5496" w:themeColor="accent1" w:themeShade="BF"/>
          <w:lang w:val="es-ES_tradnl"/>
        </w:rPr>
      </w:pPr>
    </w:p>
    <w:p w:rsidR="00C74C4C" w:rsidRPr="00E834A1" w:rsidRDefault="00C74C4C" w:rsidP="00C74C4C">
      <w:pPr>
        <w:pStyle w:val="Prrafodelista"/>
        <w:overflowPunct w:val="0"/>
        <w:autoSpaceDE w:val="0"/>
        <w:autoSpaceDN w:val="0"/>
        <w:adjustRightInd w:val="0"/>
        <w:jc w:val="both"/>
        <w:textAlignment w:val="baseline"/>
        <w:rPr>
          <w:rFonts w:ascii="gobCL" w:hAnsi="gobCL" w:cs="Arial"/>
          <w:b/>
          <w:bCs/>
          <w:color w:val="2F5496" w:themeColor="accent1" w:themeShade="BF"/>
          <w:lang w:val="es-ES_tradnl"/>
        </w:rPr>
      </w:pPr>
    </w:p>
    <w:p w:rsidR="00C74C4C" w:rsidRPr="00674DBF" w:rsidRDefault="00C74C4C" w:rsidP="00C74C4C">
      <w:pPr>
        <w:overflowPunct w:val="0"/>
        <w:autoSpaceDE w:val="0"/>
        <w:autoSpaceDN w:val="0"/>
        <w:adjustRightInd w:val="0"/>
        <w:jc w:val="both"/>
        <w:textAlignment w:val="baseline"/>
        <w:rPr>
          <w:rFonts w:ascii="gobCL" w:hAnsi="gobCL" w:cs="Arial"/>
          <w:b/>
          <w:bCs/>
          <w:color w:val="2F5496" w:themeColor="accent1" w:themeShade="BF"/>
          <w:sz w:val="22"/>
          <w:szCs w:val="22"/>
          <w:u w:val="single"/>
          <w:lang w:val="es-ES_tradnl"/>
        </w:rPr>
      </w:pPr>
      <w:r w:rsidRPr="00E834A1">
        <w:rPr>
          <w:rFonts w:ascii="gobCL" w:hAnsi="gobCL" w:cs="Arial"/>
          <w:b/>
          <w:bCs/>
          <w:color w:val="2F5496" w:themeColor="accent1" w:themeShade="BF"/>
          <w:sz w:val="22"/>
          <w:szCs w:val="22"/>
          <w:lang w:val="es-ES_tradnl"/>
        </w:rPr>
        <w:t>Que cumplan los requisitos indicados en las bases</w:t>
      </w:r>
      <w:r w:rsidR="00674DBF">
        <w:rPr>
          <w:rFonts w:ascii="gobCL" w:hAnsi="gobCL" w:cs="Arial"/>
          <w:b/>
          <w:bCs/>
          <w:color w:val="2F5496" w:themeColor="accent1" w:themeShade="BF"/>
          <w:sz w:val="22"/>
          <w:szCs w:val="22"/>
          <w:lang w:val="es-ES_tradnl"/>
        </w:rPr>
        <w:t xml:space="preserve">, </w:t>
      </w:r>
      <w:r w:rsidR="00674DBF" w:rsidRPr="00674DBF">
        <w:rPr>
          <w:rFonts w:ascii="gobCL" w:hAnsi="gobCL" w:cs="Arial"/>
          <w:b/>
          <w:bCs/>
          <w:color w:val="2F5496" w:themeColor="accent1" w:themeShade="BF"/>
          <w:sz w:val="22"/>
          <w:szCs w:val="22"/>
          <w:u w:val="single"/>
          <w:lang w:val="es-ES_tradnl"/>
        </w:rPr>
        <w:t>por lo que sí podría participar</w:t>
      </w:r>
      <w:r w:rsidRPr="00674DBF">
        <w:rPr>
          <w:rFonts w:ascii="gobCL" w:hAnsi="gobCL" w:cs="Arial"/>
          <w:b/>
          <w:bCs/>
          <w:color w:val="2F5496" w:themeColor="accent1" w:themeShade="BF"/>
          <w:sz w:val="22"/>
          <w:szCs w:val="22"/>
          <w:u w:val="single"/>
          <w:lang w:val="es-ES_tradnl"/>
        </w:rPr>
        <w:t>.</w:t>
      </w:r>
    </w:p>
    <w:p w:rsidR="00C74C4C" w:rsidRPr="00E834A1" w:rsidRDefault="00C74C4C" w:rsidP="00C74C4C">
      <w:pPr>
        <w:overflowPunct w:val="0"/>
        <w:autoSpaceDE w:val="0"/>
        <w:autoSpaceDN w:val="0"/>
        <w:adjustRightInd w:val="0"/>
        <w:jc w:val="both"/>
        <w:textAlignment w:val="baseline"/>
        <w:rPr>
          <w:rFonts w:ascii="gobCL" w:hAnsi="gobCL" w:cs="Arial"/>
          <w:b/>
          <w:bCs/>
          <w:color w:val="2F5496" w:themeColor="accent1" w:themeShade="BF"/>
          <w:sz w:val="22"/>
          <w:szCs w:val="22"/>
          <w:lang w:val="es-ES_tradnl"/>
        </w:rPr>
      </w:pPr>
      <w:bookmarkStart w:id="0" w:name="_GoBack"/>
      <w:bookmarkEnd w:id="0"/>
    </w:p>
    <w:p w:rsidR="00C74C4C" w:rsidRPr="00E834A1" w:rsidRDefault="00C74C4C" w:rsidP="00C74C4C">
      <w:pPr>
        <w:overflowPunct w:val="0"/>
        <w:autoSpaceDE w:val="0"/>
        <w:autoSpaceDN w:val="0"/>
        <w:adjustRightInd w:val="0"/>
        <w:jc w:val="both"/>
        <w:textAlignment w:val="baseline"/>
        <w:rPr>
          <w:rFonts w:ascii="gobCL" w:hAnsi="gobCL" w:cs="Arial"/>
          <w:b/>
          <w:bCs/>
          <w:color w:val="2F5496" w:themeColor="accent1" w:themeShade="BF"/>
          <w:sz w:val="22"/>
          <w:szCs w:val="22"/>
          <w:lang w:val="es-ES_tradnl"/>
        </w:rPr>
      </w:pPr>
      <w:r w:rsidRPr="00E834A1">
        <w:rPr>
          <w:rFonts w:ascii="gobCL" w:hAnsi="gobCL" w:cs="Arial"/>
          <w:b/>
          <w:bCs/>
          <w:color w:val="2F5496" w:themeColor="accent1" w:themeShade="BF"/>
          <w:sz w:val="22"/>
          <w:szCs w:val="22"/>
          <w:lang w:val="es-ES_tradnl"/>
        </w:rPr>
        <w:t xml:space="preserve">En cuanto a la resolución Exenta </w:t>
      </w:r>
      <w:proofErr w:type="spellStart"/>
      <w:r w:rsidRPr="00E834A1">
        <w:rPr>
          <w:rFonts w:ascii="gobCL" w:hAnsi="gobCL" w:cs="Arial"/>
          <w:b/>
          <w:bCs/>
          <w:color w:val="2F5496" w:themeColor="accent1" w:themeShade="BF"/>
          <w:sz w:val="22"/>
          <w:szCs w:val="22"/>
          <w:lang w:val="es-ES_tradnl"/>
        </w:rPr>
        <w:t>N°</w:t>
      </w:r>
      <w:proofErr w:type="spellEnd"/>
      <w:r w:rsidRPr="00E834A1">
        <w:rPr>
          <w:rFonts w:ascii="gobCL" w:hAnsi="gobCL" w:cs="Arial"/>
          <w:b/>
          <w:bCs/>
          <w:color w:val="2F5496" w:themeColor="accent1" w:themeShade="BF"/>
          <w:sz w:val="22"/>
          <w:szCs w:val="22"/>
          <w:lang w:val="es-ES_tradnl"/>
        </w:rPr>
        <w:t xml:space="preserve"> 2396 de 2022 ella si corresponde a una subasta de reasignación artesanal en donde pueden participar solo:</w:t>
      </w:r>
    </w:p>
    <w:p w:rsidR="00C74C4C" w:rsidRPr="00E834A1" w:rsidRDefault="00C74C4C" w:rsidP="00C74C4C">
      <w:pPr>
        <w:overflowPunct w:val="0"/>
        <w:autoSpaceDE w:val="0"/>
        <w:autoSpaceDN w:val="0"/>
        <w:adjustRightInd w:val="0"/>
        <w:jc w:val="both"/>
        <w:textAlignment w:val="baseline"/>
        <w:rPr>
          <w:rFonts w:ascii="gobCL" w:hAnsi="gobCL" w:cs="Arial"/>
          <w:b/>
          <w:bCs/>
          <w:color w:val="2F5496" w:themeColor="accent1" w:themeShade="BF"/>
          <w:sz w:val="22"/>
          <w:szCs w:val="22"/>
          <w:lang w:val="es-ES_tradnl"/>
        </w:rPr>
      </w:pPr>
    </w:p>
    <w:p w:rsidR="00C74C4C" w:rsidRPr="00E834A1" w:rsidRDefault="00C74C4C" w:rsidP="00C74C4C">
      <w:pPr>
        <w:pStyle w:val="Prrafodelista"/>
        <w:numPr>
          <w:ilvl w:val="0"/>
          <w:numId w:val="5"/>
        </w:numPr>
        <w:overflowPunct w:val="0"/>
        <w:autoSpaceDE w:val="0"/>
        <w:autoSpaceDN w:val="0"/>
        <w:adjustRightInd w:val="0"/>
        <w:contextualSpacing/>
        <w:jc w:val="both"/>
        <w:textAlignment w:val="baseline"/>
        <w:rPr>
          <w:rFonts w:ascii="gobCL" w:eastAsia="Times New Roman" w:hAnsi="gobCL" w:cs="Arial"/>
          <w:b/>
          <w:bCs/>
          <w:color w:val="2F5496" w:themeColor="accent1" w:themeShade="BF"/>
          <w:lang w:val="es-ES_tradnl" w:eastAsia="es-ES"/>
        </w:rPr>
      </w:pPr>
      <w:r w:rsidRPr="00E834A1">
        <w:rPr>
          <w:rFonts w:ascii="gobCL" w:hAnsi="gobCL" w:cs="Arial"/>
          <w:b/>
          <w:bCs/>
          <w:color w:val="2F5496" w:themeColor="accent1" w:themeShade="BF"/>
          <w:lang w:val="es-ES_tradnl"/>
        </w:rPr>
        <w:t>Armadores artesanales inscritos en el Registro Pesquero Artesanal de Bacalao de profundidad.</w:t>
      </w:r>
      <w:r w:rsidRPr="00E834A1">
        <w:rPr>
          <w:rFonts w:ascii="gobCL" w:hAnsi="gobCL" w:cs="Arial"/>
          <w:b/>
          <w:bCs/>
          <w:color w:val="2F5496" w:themeColor="accent1" w:themeShade="BF"/>
          <w:lang w:val="es-ES_tradnl"/>
        </w:rPr>
        <w:t xml:space="preserve"> o</w:t>
      </w:r>
    </w:p>
    <w:p w:rsidR="00C74C4C" w:rsidRPr="00E834A1" w:rsidRDefault="00C74C4C" w:rsidP="00C74C4C">
      <w:pPr>
        <w:pStyle w:val="Prrafodelista"/>
        <w:overflowPunct w:val="0"/>
        <w:autoSpaceDE w:val="0"/>
        <w:autoSpaceDN w:val="0"/>
        <w:adjustRightInd w:val="0"/>
        <w:ind w:left="1854"/>
        <w:jc w:val="both"/>
        <w:textAlignment w:val="baseline"/>
        <w:rPr>
          <w:rFonts w:ascii="gobCL" w:eastAsia="Times New Roman" w:hAnsi="gobCL" w:cs="Arial"/>
          <w:b/>
          <w:bCs/>
          <w:color w:val="2F5496" w:themeColor="accent1" w:themeShade="BF"/>
          <w:highlight w:val="green"/>
          <w:lang w:val="es-ES_tradnl" w:eastAsia="es-ES"/>
        </w:rPr>
      </w:pPr>
    </w:p>
    <w:p w:rsidR="00C74C4C" w:rsidRPr="00E834A1" w:rsidRDefault="00C74C4C" w:rsidP="00C74C4C">
      <w:pPr>
        <w:pStyle w:val="Prrafodelista"/>
        <w:numPr>
          <w:ilvl w:val="0"/>
          <w:numId w:val="5"/>
        </w:numPr>
        <w:overflowPunct w:val="0"/>
        <w:autoSpaceDE w:val="0"/>
        <w:autoSpaceDN w:val="0"/>
        <w:adjustRightInd w:val="0"/>
        <w:contextualSpacing/>
        <w:jc w:val="both"/>
        <w:textAlignment w:val="baseline"/>
        <w:rPr>
          <w:rFonts w:ascii="gobCL" w:eastAsia="Times New Roman" w:hAnsi="gobCL" w:cs="Arial"/>
          <w:b/>
          <w:bCs/>
          <w:color w:val="2F5496" w:themeColor="accent1" w:themeShade="BF"/>
          <w:lang w:val="es-ES_tradnl" w:eastAsia="es-ES"/>
        </w:rPr>
      </w:pPr>
      <w:r w:rsidRPr="00E834A1">
        <w:rPr>
          <w:rFonts w:ascii="gobCL" w:hAnsi="gobCL" w:cs="Arial"/>
          <w:b/>
          <w:bCs/>
          <w:color w:val="2F5496" w:themeColor="accent1" w:themeShade="BF"/>
          <w:lang w:val="es-ES_tradnl"/>
        </w:rPr>
        <w:t>Pescadores artesanales inscritos en el Registro Pesquero Artesanal de las Regiones de Aysén del General Carlos Ibáñez del Campo y de Magallanes y la Antártica Chilena.</w:t>
      </w:r>
    </w:p>
    <w:p w:rsidR="0060778D" w:rsidRPr="00E834A1" w:rsidRDefault="0060778D" w:rsidP="00C74C4C">
      <w:pPr>
        <w:jc w:val="both"/>
        <w:rPr>
          <w:rFonts w:ascii="gobCL" w:hAnsi="gobCL"/>
          <w:sz w:val="22"/>
          <w:szCs w:val="22"/>
        </w:rPr>
      </w:pPr>
    </w:p>
    <w:p w:rsidR="0060778D" w:rsidRPr="00E834A1" w:rsidRDefault="0060778D" w:rsidP="00C74C4C">
      <w:pPr>
        <w:pStyle w:val="Prrafodelista"/>
        <w:numPr>
          <w:ilvl w:val="0"/>
          <w:numId w:val="4"/>
        </w:numPr>
        <w:jc w:val="both"/>
        <w:rPr>
          <w:rFonts w:ascii="gobCL" w:hAnsi="gobCL"/>
        </w:rPr>
      </w:pPr>
      <w:r w:rsidRPr="00E834A1">
        <w:rPr>
          <w:rFonts w:ascii="gobCL" w:hAnsi="gobCL"/>
        </w:rPr>
        <w:t xml:space="preserve"> En el caso de adjudicarme</w:t>
      </w:r>
      <w:r w:rsidR="00C74C4C" w:rsidRPr="00E834A1">
        <w:t xml:space="preserve"> </w:t>
      </w:r>
      <w:r w:rsidRPr="00E834A1">
        <w:rPr>
          <w:rFonts w:ascii="gobCL" w:hAnsi="gobCL"/>
        </w:rPr>
        <w:t>alg</w:t>
      </w:r>
      <w:r w:rsidRPr="00E834A1">
        <w:rPr>
          <w:rFonts w:ascii="gobCL" w:hAnsi="gobCL" w:cs="gobCL"/>
        </w:rPr>
        <w:t>ú</w:t>
      </w:r>
      <w:r w:rsidRPr="00E834A1">
        <w:rPr>
          <w:rFonts w:ascii="gobCL" w:hAnsi="gobCL"/>
        </w:rPr>
        <w:t>n lote y según</w:t>
      </w:r>
      <w:r w:rsidRPr="00E834A1">
        <w:t> </w:t>
      </w:r>
      <w:r w:rsidRPr="00E834A1">
        <w:rPr>
          <w:rFonts w:ascii="gobCL" w:hAnsi="gobCL"/>
        </w:rPr>
        <w:t>entiendo de lo se</w:t>
      </w:r>
      <w:r w:rsidRPr="00E834A1">
        <w:rPr>
          <w:rFonts w:ascii="gobCL" w:hAnsi="gobCL" w:cs="gobCL"/>
        </w:rPr>
        <w:t>ñ</w:t>
      </w:r>
      <w:r w:rsidRPr="00E834A1">
        <w:rPr>
          <w:rFonts w:ascii="gobCL" w:hAnsi="gobCL"/>
        </w:rPr>
        <w:t>alado en el numeral 15 denominado "OBLIGACIONES DEL ADJUDICATARIO" letra h)</w:t>
      </w:r>
      <w:r w:rsidR="00C716F5" w:rsidRPr="00E834A1">
        <w:t xml:space="preserve"> </w:t>
      </w:r>
      <w:r w:rsidRPr="00E834A1">
        <w:rPr>
          <w:rFonts w:ascii="gobCL" w:hAnsi="gobCL"/>
        </w:rPr>
        <w:t xml:space="preserve">y habiendo rendido y aprobado mi prueba de pescador artesanal con fecha de agosto de 2022 en la </w:t>
      </w:r>
      <w:r w:rsidR="00C716F5" w:rsidRPr="00E834A1">
        <w:rPr>
          <w:rFonts w:ascii="gobCL" w:hAnsi="gobCL"/>
        </w:rPr>
        <w:t>Capitanía</w:t>
      </w:r>
      <w:r w:rsidRPr="00E834A1">
        <w:rPr>
          <w:rFonts w:ascii="gobCL" w:hAnsi="gobCL"/>
        </w:rPr>
        <w:t xml:space="preserve"> de Puerto de Algarrobo </w:t>
      </w:r>
      <w:r w:rsidR="00C74C4C" w:rsidRPr="00E834A1">
        <w:rPr>
          <w:rFonts w:ascii="gobCL" w:hAnsi="gobCL"/>
        </w:rPr>
        <w:t>quiero</w:t>
      </w:r>
      <w:r w:rsidRPr="00E834A1">
        <w:rPr>
          <w:rFonts w:ascii="gobCL" w:hAnsi="gobCL"/>
        </w:rPr>
        <w:t xml:space="preserve"> saber si doy </w:t>
      </w:r>
      <w:r w:rsidR="00C74C4C" w:rsidRPr="00E834A1">
        <w:rPr>
          <w:rFonts w:ascii="gobCL" w:hAnsi="gobCL"/>
        </w:rPr>
        <w:t>cumplimiento</w:t>
      </w:r>
      <w:r w:rsidRPr="00E834A1">
        <w:rPr>
          <w:rFonts w:ascii="gobCL" w:hAnsi="gobCL"/>
        </w:rPr>
        <w:t xml:space="preserve"> a este requisito para poder realizar la pesca del producto.</w:t>
      </w:r>
    </w:p>
    <w:p w:rsidR="00C716F5" w:rsidRPr="00E834A1" w:rsidRDefault="00C716F5" w:rsidP="00C716F5">
      <w:pPr>
        <w:jc w:val="both"/>
        <w:rPr>
          <w:rFonts w:ascii="gobCL" w:hAnsi="gobCL"/>
          <w:sz w:val="22"/>
          <w:szCs w:val="22"/>
        </w:rPr>
      </w:pPr>
    </w:p>
    <w:p w:rsidR="00C716F5" w:rsidRPr="00E834A1" w:rsidRDefault="00C716F5" w:rsidP="00C716F5">
      <w:pPr>
        <w:jc w:val="both"/>
        <w:rPr>
          <w:rFonts w:ascii="gobCL" w:hAnsi="gobCL"/>
          <w:b/>
          <w:bCs/>
          <w:color w:val="2F5496" w:themeColor="accent1" w:themeShade="BF"/>
          <w:sz w:val="22"/>
          <w:szCs w:val="22"/>
        </w:rPr>
      </w:pPr>
      <w:r w:rsidRPr="00E834A1">
        <w:rPr>
          <w:rFonts w:ascii="gobCL" w:hAnsi="gobCL"/>
          <w:b/>
          <w:bCs/>
          <w:color w:val="2F5496" w:themeColor="accent1" w:themeShade="BF"/>
          <w:sz w:val="22"/>
          <w:szCs w:val="22"/>
        </w:rPr>
        <w:t>Tal como se indic</w:t>
      </w:r>
      <w:r w:rsidR="00674DBF">
        <w:rPr>
          <w:rFonts w:ascii="gobCL" w:hAnsi="gobCL"/>
          <w:b/>
          <w:bCs/>
          <w:color w:val="2F5496" w:themeColor="accent1" w:themeShade="BF"/>
          <w:sz w:val="22"/>
          <w:szCs w:val="22"/>
        </w:rPr>
        <w:t>a</w:t>
      </w:r>
      <w:r w:rsidRPr="00E834A1">
        <w:rPr>
          <w:rFonts w:ascii="gobCL" w:hAnsi="gobCL"/>
          <w:b/>
          <w:bCs/>
          <w:color w:val="2F5496" w:themeColor="accent1" w:themeShade="BF"/>
          <w:sz w:val="22"/>
          <w:szCs w:val="22"/>
        </w:rPr>
        <w:t xml:space="preserve"> </w:t>
      </w:r>
      <w:r w:rsidR="00674DBF">
        <w:rPr>
          <w:rFonts w:ascii="gobCL" w:hAnsi="gobCL"/>
          <w:b/>
          <w:bCs/>
          <w:color w:val="2F5496" w:themeColor="accent1" w:themeShade="BF"/>
          <w:sz w:val="22"/>
          <w:szCs w:val="22"/>
        </w:rPr>
        <w:t xml:space="preserve">en la consulta </w:t>
      </w:r>
      <w:r w:rsidRPr="00E834A1">
        <w:rPr>
          <w:rFonts w:ascii="gobCL" w:hAnsi="gobCL"/>
          <w:b/>
          <w:bCs/>
          <w:color w:val="2F5496" w:themeColor="accent1" w:themeShade="BF"/>
          <w:sz w:val="22"/>
          <w:szCs w:val="22"/>
        </w:rPr>
        <w:t>anterior para participar en la subasta de reasignación artesanal se requiere ser</w:t>
      </w:r>
      <w:r w:rsidRPr="00E834A1">
        <w:rPr>
          <w:rFonts w:ascii="gobCL" w:hAnsi="gobCL" w:cs="Arial"/>
          <w:b/>
          <w:bCs/>
          <w:color w:val="2F5496" w:themeColor="accent1" w:themeShade="BF"/>
          <w:sz w:val="22"/>
          <w:szCs w:val="22"/>
          <w:lang w:val="es-ES_tradnl"/>
        </w:rPr>
        <w:t xml:space="preserve"> </w:t>
      </w:r>
      <w:r w:rsidRPr="00E834A1">
        <w:rPr>
          <w:rFonts w:ascii="gobCL" w:hAnsi="gobCL" w:cs="Arial"/>
          <w:b/>
          <w:bCs/>
          <w:color w:val="2F5496" w:themeColor="accent1" w:themeShade="BF"/>
          <w:sz w:val="22"/>
          <w:szCs w:val="22"/>
          <w:lang w:val="es-ES_tradnl"/>
        </w:rPr>
        <w:t>Pescador artesanal inscrito en el Registro Pesquero Artesanal de las Regiones de Aysén del General Carlos Ibáñez del Campo y de Magallanes y la Antártica Chilena</w:t>
      </w:r>
      <w:r w:rsidRPr="00E834A1">
        <w:rPr>
          <w:rFonts w:ascii="gobCL" w:hAnsi="gobCL" w:cs="Arial"/>
          <w:b/>
          <w:bCs/>
          <w:color w:val="2F5496" w:themeColor="accent1" w:themeShade="BF"/>
          <w:sz w:val="22"/>
          <w:szCs w:val="22"/>
          <w:lang w:val="es-ES_tradnl"/>
        </w:rPr>
        <w:t>.</w:t>
      </w:r>
    </w:p>
    <w:p w:rsidR="00D43846" w:rsidRPr="00E834A1" w:rsidRDefault="00D43846" w:rsidP="00C74C4C">
      <w:pPr>
        <w:jc w:val="both"/>
        <w:rPr>
          <w:rFonts w:ascii="gobCL" w:hAnsi="gobCL"/>
          <w:sz w:val="22"/>
          <w:szCs w:val="22"/>
        </w:rPr>
      </w:pPr>
    </w:p>
    <w:sectPr w:rsidR="00D43846" w:rsidRPr="00E834A1">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C4C" w:rsidRDefault="00C74C4C" w:rsidP="00C74C4C">
      <w:r>
        <w:separator/>
      </w:r>
    </w:p>
  </w:endnote>
  <w:endnote w:type="continuationSeparator" w:id="0">
    <w:p w:rsidR="00C74C4C" w:rsidRDefault="00C74C4C" w:rsidP="00C7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8000002F" w:usb1="4000005B"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C4C" w:rsidRPr="00C74C4C" w:rsidRDefault="00C74C4C">
    <w:pPr>
      <w:tabs>
        <w:tab w:val="center" w:pos="4550"/>
        <w:tab w:val="left" w:pos="5818"/>
      </w:tabs>
      <w:ind w:right="260"/>
      <w:jc w:val="right"/>
      <w:rPr>
        <w:rFonts w:ascii="gobCL" w:hAnsi="gobCL"/>
        <w:sz w:val="20"/>
        <w:szCs w:val="20"/>
      </w:rPr>
    </w:pPr>
    <w:r w:rsidRPr="00C74C4C">
      <w:rPr>
        <w:rFonts w:ascii="gobCL" w:hAnsi="gobCL"/>
        <w:spacing w:val="60"/>
        <w:sz w:val="20"/>
        <w:szCs w:val="20"/>
        <w:lang w:val="es-ES"/>
      </w:rPr>
      <w:t>Página</w:t>
    </w:r>
    <w:r w:rsidRPr="00C74C4C">
      <w:rPr>
        <w:rFonts w:ascii="gobCL" w:hAnsi="gobCL"/>
        <w:sz w:val="20"/>
        <w:szCs w:val="20"/>
        <w:lang w:val="es-ES"/>
      </w:rPr>
      <w:t xml:space="preserve"> </w:t>
    </w:r>
    <w:r w:rsidRPr="00C74C4C">
      <w:rPr>
        <w:rFonts w:ascii="gobCL" w:hAnsi="gobCL"/>
        <w:sz w:val="20"/>
        <w:szCs w:val="20"/>
      </w:rPr>
      <w:fldChar w:fldCharType="begin"/>
    </w:r>
    <w:r w:rsidRPr="00C74C4C">
      <w:rPr>
        <w:rFonts w:ascii="gobCL" w:hAnsi="gobCL"/>
        <w:sz w:val="20"/>
        <w:szCs w:val="20"/>
      </w:rPr>
      <w:instrText>PAGE   \* MERGEFORMAT</w:instrText>
    </w:r>
    <w:r w:rsidRPr="00C74C4C">
      <w:rPr>
        <w:rFonts w:ascii="gobCL" w:hAnsi="gobCL"/>
        <w:sz w:val="20"/>
        <w:szCs w:val="20"/>
      </w:rPr>
      <w:fldChar w:fldCharType="separate"/>
    </w:r>
    <w:r w:rsidRPr="00C74C4C">
      <w:rPr>
        <w:rFonts w:ascii="gobCL" w:hAnsi="gobCL"/>
        <w:sz w:val="20"/>
        <w:szCs w:val="20"/>
        <w:lang w:val="es-ES"/>
      </w:rPr>
      <w:t>1</w:t>
    </w:r>
    <w:r w:rsidRPr="00C74C4C">
      <w:rPr>
        <w:rFonts w:ascii="gobCL" w:hAnsi="gobCL"/>
        <w:sz w:val="20"/>
        <w:szCs w:val="20"/>
      </w:rPr>
      <w:fldChar w:fldCharType="end"/>
    </w:r>
    <w:r w:rsidRPr="00C74C4C">
      <w:rPr>
        <w:rFonts w:ascii="gobCL" w:hAnsi="gobCL"/>
        <w:sz w:val="20"/>
        <w:szCs w:val="20"/>
        <w:lang w:val="es-ES"/>
      </w:rPr>
      <w:t xml:space="preserve"> | </w:t>
    </w:r>
    <w:r w:rsidRPr="00C74C4C">
      <w:rPr>
        <w:rFonts w:ascii="gobCL" w:hAnsi="gobCL"/>
        <w:sz w:val="20"/>
        <w:szCs w:val="20"/>
      </w:rPr>
      <w:fldChar w:fldCharType="begin"/>
    </w:r>
    <w:r w:rsidRPr="00C74C4C">
      <w:rPr>
        <w:rFonts w:ascii="gobCL" w:hAnsi="gobCL"/>
        <w:sz w:val="20"/>
        <w:szCs w:val="20"/>
      </w:rPr>
      <w:instrText>NUMPAGES  \* Arabic  \* MERGEFORMAT</w:instrText>
    </w:r>
    <w:r w:rsidRPr="00C74C4C">
      <w:rPr>
        <w:rFonts w:ascii="gobCL" w:hAnsi="gobCL"/>
        <w:sz w:val="20"/>
        <w:szCs w:val="20"/>
      </w:rPr>
      <w:fldChar w:fldCharType="separate"/>
    </w:r>
    <w:r w:rsidRPr="00C74C4C">
      <w:rPr>
        <w:rFonts w:ascii="gobCL" w:hAnsi="gobCL"/>
        <w:sz w:val="20"/>
        <w:szCs w:val="20"/>
        <w:lang w:val="es-ES"/>
      </w:rPr>
      <w:t>1</w:t>
    </w:r>
    <w:r w:rsidRPr="00C74C4C">
      <w:rPr>
        <w:rFonts w:ascii="gobCL" w:hAnsi="gobCL"/>
        <w:sz w:val="20"/>
        <w:szCs w:val="20"/>
      </w:rPr>
      <w:fldChar w:fldCharType="end"/>
    </w:r>
  </w:p>
  <w:p w:rsidR="00C74C4C" w:rsidRDefault="00C74C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C4C" w:rsidRDefault="00C74C4C" w:rsidP="00C74C4C">
      <w:r>
        <w:separator/>
      </w:r>
    </w:p>
  </w:footnote>
  <w:footnote w:type="continuationSeparator" w:id="0">
    <w:p w:rsidR="00C74C4C" w:rsidRDefault="00C74C4C" w:rsidP="00C74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95E2D"/>
    <w:multiLevelType w:val="hybridMultilevel"/>
    <w:tmpl w:val="72FA53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30A357C"/>
    <w:multiLevelType w:val="hybridMultilevel"/>
    <w:tmpl w:val="9F90E7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7503956"/>
    <w:multiLevelType w:val="hybridMultilevel"/>
    <w:tmpl w:val="AEB04974"/>
    <w:lvl w:ilvl="0" w:tplc="A85A342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49952DBD"/>
    <w:multiLevelType w:val="hybridMultilevel"/>
    <w:tmpl w:val="B960177A"/>
    <w:lvl w:ilvl="0" w:tplc="340A0017">
      <w:start w:val="1"/>
      <w:numFmt w:val="lowerLetter"/>
      <w:lvlText w:val="%1)"/>
      <w:lvlJc w:val="left"/>
      <w:pPr>
        <w:ind w:left="1854" w:hanging="360"/>
      </w:pPr>
    </w:lvl>
    <w:lvl w:ilvl="1" w:tplc="340A0019">
      <w:start w:val="1"/>
      <w:numFmt w:val="lowerLetter"/>
      <w:lvlText w:val="%2."/>
      <w:lvlJc w:val="left"/>
      <w:pPr>
        <w:ind w:left="2574" w:hanging="360"/>
      </w:pPr>
    </w:lvl>
    <w:lvl w:ilvl="2" w:tplc="340A001B">
      <w:start w:val="1"/>
      <w:numFmt w:val="lowerRoman"/>
      <w:lvlText w:val="%3."/>
      <w:lvlJc w:val="right"/>
      <w:pPr>
        <w:ind w:left="3294" w:hanging="180"/>
      </w:pPr>
    </w:lvl>
    <w:lvl w:ilvl="3" w:tplc="340A000F">
      <w:start w:val="1"/>
      <w:numFmt w:val="decimal"/>
      <w:lvlText w:val="%4."/>
      <w:lvlJc w:val="left"/>
      <w:pPr>
        <w:ind w:left="4014" w:hanging="360"/>
      </w:pPr>
    </w:lvl>
    <w:lvl w:ilvl="4" w:tplc="340A0019">
      <w:start w:val="1"/>
      <w:numFmt w:val="lowerLetter"/>
      <w:lvlText w:val="%5."/>
      <w:lvlJc w:val="left"/>
      <w:pPr>
        <w:ind w:left="4734" w:hanging="360"/>
      </w:pPr>
    </w:lvl>
    <w:lvl w:ilvl="5" w:tplc="340A001B">
      <w:start w:val="1"/>
      <w:numFmt w:val="lowerRoman"/>
      <w:lvlText w:val="%6."/>
      <w:lvlJc w:val="right"/>
      <w:pPr>
        <w:ind w:left="5454" w:hanging="180"/>
      </w:pPr>
    </w:lvl>
    <w:lvl w:ilvl="6" w:tplc="340A000F">
      <w:start w:val="1"/>
      <w:numFmt w:val="decimal"/>
      <w:lvlText w:val="%7."/>
      <w:lvlJc w:val="left"/>
      <w:pPr>
        <w:ind w:left="6174" w:hanging="360"/>
      </w:pPr>
    </w:lvl>
    <w:lvl w:ilvl="7" w:tplc="340A0019">
      <w:start w:val="1"/>
      <w:numFmt w:val="lowerLetter"/>
      <w:lvlText w:val="%8."/>
      <w:lvlJc w:val="left"/>
      <w:pPr>
        <w:ind w:left="6894" w:hanging="360"/>
      </w:pPr>
    </w:lvl>
    <w:lvl w:ilvl="8" w:tplc="340A001B">
      <w:start w:val="1"/>
      <w:numFmt w:val="lowerRoman"/>
      <w:lvlText w:val="%9."/>
      <w:lvlJc w:val="right"/>
      <w:pPr>
        <w:ind w:left="7614" w:hanging="180"/>
      </w:pPr>
    </w:lvl>
  </w:abstractNum>
  <w:abstractNum w:abstractNumId="4" w15:restartNumberingAfterBreak="0">
    <w:nsid w:val="73485D71"/>
    <w:multiLevelType w:val="hybridMultilevel"/>
    <w:tmpl w:val="06007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46"/>
    <w:rsid w:val="0060778D"/>
    <w:rsid w:val="00674DBF"/>
    <w:rsid w:val="00703EC0"/>
    <w:rsid w:val="007134EA"/>
    <w:rsid w:val="00824107"/>
    <w:rsid w:val="00C716F5"/>
    <w:rsid w:val="00C74C4C"/>
    <w:rsid w:val="00D041D0"/>
    <w:rsid w:val="00D43846"/>
    <w:rsid w:val="00E30FB8"/>
    <w:rsid w:val="00E834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BB1CEA"/>
  <w15:chartTrackingRefBased/>
  <w15:docId w15:val="{65943305-B5F4-4DE4-9E4D-6FFF654B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46"/>
    <w:pPr>
      <w:spacing w:after="0" w:line="240" w:lineRule="auto"/>
    </w:pPr>
    <w:rPr>
      <w:rFonts w:ascii="Calibri" w:hAnsi="Calibri" w:cs="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846"/>
    <w:pPr>
      <w:ind w:left="720"/>
    </w:pPr>
    <w:rPr>
      <w:sz w:val="22"/>
      <w:szCs w:val="22"/>
      <w:lang w:eastAsia="es-CL"/>
    </w:rPr>
  </w:style>
  <w:style w:type="paragraph" w:styleId="Encabezado">
    <w:name w:val="header"/>
    <w:basedOn w:val="Normal"/>
    <w:link w:val="EncabezadoCar"/>
    <w:uiPriority w:val="99"/>
    <w:unhideWhenUsed/>
    <w:rsid w:val="00C74C4C"/>
    <w:pPr>
      <w:tabs>
        <w:tab w:val="center" w:pos="4419"/>
        <w:tab w:val="right" w:pos="8838"/>
      </w:tabs>
    </w:pPr>
  </w:style>
  <w:style w:type="character" w:customStyle="1" w:styleId="EncabezadoCar">
    <w:name w:val="Encabezado Car"/>
    <w:basedOn w:val="Fuentedeprrafopredeter"/>
    <w:link w:val="Encabezado"/>
    <w:uiPriority w:val="99"/>
    <w:rsid w:val="00C74C4C"/>
    <w:rPr>
      <w:rFonts w:ascii="Calibri" w:hAnsi="Calibri" w:cs="Calibri"/>
      <w:sz w:val="24"/>
      <w:szCs w:val="24"/>
    </w:rPr>
  </w:style>
  <w:style w:type="paragraph" w:styleId="Piedepgina">
    <w:name w:val="footer"/>
    <w:basedOn w:val="Normal"/>
    <w:link w:val="PiedepginaCar"/>
    <w:uiPriority w:val="99"/>
    <w:unhideWhenUsed/>
    <w:rsid w:val="00C74C4C"/>
    <w:pPr>
      <w:tabs>
        <w:tab w:val="center" w:pos="4419"/>
        <w:tab w:val="right" w:pos="8838"/>
      </w:tabs>
    </w:pPr>
  </w:style>
  <w:style w:type="character" w:customStyle="1" w:styleId="PiedepginaCar">
    <w:name w:val="Pie de página Car"/>
    <w:basedOn w:val="Fuentedeprrafopredeter"/>
    <w:link w:val="Piedepgina"/>
    <w:uiPriority w:val="99"/>
    <w:rsid w:val="00C74C4C"/>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6329">
      <w:bodyDiv w:val="1"/>
      <w:marLeft w:val="0"/>
      <w:marRight w:val="0"/>
      <w:marTop w:val="0"/>
      <w:marBottom w:val="0"/>
      <w:divBdr>
        <w:top w:val="none" w:sz="0" w:space="0" w:color="auto"/>
        <w:left w:val="none" w:sz="0" w:space="0" w:color="auto"/>
        <w:bottom w:val="none" w:sz="0" w:space="0" w:color="auto"/>
        <w:right w:val="none" w:sz="0" w:space="0" w:color="auto"/>
      </w:divBdr>
    </w:div>
    <w:div w:id="142355698">
      <w:bodyDiv w:val="1"/>
      <w:marLeft w:val="0"/>
      <w:marRight w:val="0"/>
      <w:marTop w:val="0"/>
      <w:marBottom w:val="0"/>
      <w:divBdr>
        <w:top w:val="none" w:sz="0" w:space="0" w:color="auto"/>
        <w:left w:val="none" w:sz="0" w:space="0" w:color="auto"/>
        <w:bottom w:val="none" w:sz="0" w:space="0" w:color="auto"/>
        <w:right w:val="none" w:sz="0" w:space="0" w:color="auto"/>
      </w:divBdr>
    </w:div>
    <w:div w:id="449596525">
      <w:bodyDiv w:val="1"/>
      <w:marLeft w:val="0"/>
      <w:marRight w:val="0"/>
      <w:marTop w:val="0"/>
      <w:marBottom w:val="0"/>
      <w:divBdr>
        <w:top w:val="none" w:sz="0" w:space="0" w:color="auto"/>
        <w:left w:val="none" w:sz="0" w:space="0" w:color="auto"/>
        <w:bottom w:val="none" w:sz="0" w:space="0" w:color="auto"/>
        <w:right w:val="none" w:sz="0" w:space="0" w:color="auto"/>
      </w:divBdr>
    </w:div>
    <w:div w:id="986133693">
      <w:bodyDiv w:val="1"/>
      <w:marLeft w:val="0"/>
      <w:marRight w:val="0"/>
      <w:marTop w:val="0"/>
      <w:marBottom w:val="0"/>
      <w:divBdr>
        <w:top w:val="none" w:sz="0" w:space="0" w:color="auto"/>
        <w:left w:val="none" w:sz="0" w:space="0" w:color="auto"/>
        <w:bottom w:val="none" w:sz="0" w:space="0" w:color="auto"/>
        <w:right w:val="none" w:sz="0" w:space="0" w:color="auto"/>
      </w:divBdr>
    </w:div>
    <w:div w:id="992952239">
      <w:bodyDiv w:val="1"/>
      <w:marLeft w:val="0"/>
      <w:marRight w:val="0"/>
      <w:marTop w:val="0"/>
      <w:marBottom w:val="0"/>
      <w:divBdr>
        <w:top w:val="none" w:sz="0" w:space="0" w:color="auto"/>
        <w:left w:val="none" w:sz="0" w:space="0" w:color="auto"/>
        <w:bottom w:val="none" w:sz="0" w:space="0" w:color="auto"/>
        <w:right w:val="none" w:sz="0" w:space="0" w:color="auto"/>
      </w:divBdr>
    </w:div>
    <w:div w:id="12555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bastapublica@subpesc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870</Words>
  <Characters>4785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Ortiz</dc:creator>
  <cp:keywords/>
  <dc:description/>
  <cp:lastModifiedBy>Francisco Ortiz</cp:lastModifiedBy>
  <cp:revision>6</cp:revision>
  <cp:lastPrinted>2022-11-30T20:51:00Z</cp:lastPrinted>
  <dcterms:created xsi:type="dcterms:W3CDTF">2022-11-30T11:40:00Z</dcterms:created>
  <dcterms:modified xsi:type="dcterms:W3CDTF">2022-11-30T20:57:00Z</dcterms:modified>
</cp:coreProperties>
</file>