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684F" w14:textId="77777777" w:rsidR="00C026FC" w:rsidRPr="00C026FC" w:rsidRDefault="00C026FC" w:rsidP="00C026FC">
      <w:pPr>
        <w:ind w:left="720"/>
        <w:jc w:val="both"/>
        <w:rPr>
          <w:rFonts w:ascii="gobCL" w:hAnsi="gobCL" w:cs="Times New Roman"/>
          <w:b/>
          <w:u w:val="single"/>
        </w:rPr>
      </w:pPr>
      <w:r w:rsidRPr="00C026FC">
        <w:rPr>
          <w:rFonts w:ascii="gobCL" w:hAnsi="gobCL" w:cs="Times New Roman"/>
          <w:b/>
          <w:u w:val="single"/>
        </w:rPr>
        <w:t>ACLARACIONES A BASES ADMINISTRATIVAS SUBASTA PERMISOS EXTRAORDINARIOS DE PESCA</w:t>
      </w:r>
    </w:p>
    <w:p w14:paraId="22696176" w14:textId="77777777" w:rsidR="00C026FC" w:rsidRPr="00C026FC" w:rsidRDefault="00C026FC" w:rsidP="00C026FC">
      <w:pPr>
        <w:ind w:left="720"/>
        <w:jc w:val="both"/>
        <w:rPr>
          <w:rFonts w:ascii="gobCL" w:hAnsi="gobCL" w:cs="Times New Roman"/>
          <w:b/>
        </w:rPr>
      </w:pPr>
    </w:p>
    <w:p w14:paraId="3FCCBFA3" w14:textId="77777777" w:rsidR="00C026FC" w:rsidRPr="00C026FC" w:rsidRDefault="00C026FC" w:rsidP="00C026FC">
      <w:pPr>
        <w:spacing w:after="200" w:line="276" w:lineRule="auto"/>
        <w:jc w:val="both"/>
        <w:rPr>
          <w:rFonts w:ascii="gobCL" w:hAnsi="gobCL" w:cstheme="minorBidi"/>
          <w:lang w:eastAsia="en-US"/>
        </w:rPr>
      </w:pPr>
      <w:r w:rsidRPr="00C026FC">
        <w:rPr>
          <w:rFonts w:ascii="gobCL" w:hAnsi="gobCL" w:cstheme="minorBidi"/>
          <w:b/>
          <w:lang w:eastAsia="en-US"/>
        </w:rPr>
        <w:t xml:space="preserve">Aclaraciones a las bases dirigidas al correo electrónico </w:t>
      </w:r>
      <w:hyperlink r:id="rId5" w:history="1">
        <w:r w:rsidRPr="00C026FC">
          <w:rPr>
            <w:rFonts w:ascii="gobCL" w:hAnsi="gobCL" w:cstheme="minorBidi"/>
            <w:b/>
            <w:color w:val="0000FF"/>
            <w:u w:val="single"/>
            <w:lang w:eastAsia="en-US"/>
          </w:rPr>
          <w:t>subastapublica@subpesca.cl</w:t>
        </w:r>
      </w:hyperlink>
      <w:r w:rsidRPr="00C026FC">
        <w:rPr>
          <w:rFonts w:ascii="gobCL" w:hAnsi="gobCL" w:cstheme="minorBidi"/>
          <w:b/>
          <w:lang w:eastAsia="en-US"/>
        </w:rPr>
        <w:t xml:space="preserve"> a la fecha de 2</w:t>
      </w:r>
      <w:r>
        <w:rPr>
          <w:rFonts w:ascii="gobCL" w:hAnsi="gobCL" w:cstheme="minorBidi"/>
          <w:b/>
          <w:lang w:eastAsia="en-US"/>
        </w:rPr>
        <w:t>9</w:t>
      </w:r>
      <w:r w:rsidRPr="00C026FC">
        <w:rPr>
          <w:rFonts w:ascii="gobCL" w:hAnsi="gobCL" w:cstheme="minorBidi"/>
          <w:b/>
          <w:lang w:eastAsia="en-US"/>
        </w:rPr>
        <w:t xml:space="preserve"> noviembre de 2022, según el orden de llegada y dentro del plazo de 3 días hábiles.</w:t>
      </w:r>
    </w:p>
    <w:p w14:paraId="2CE0ACE7" w14:textId="77777777" w:rsidR="00C026FC" w:rsidRDefault="00C026FC" w:rsidP="00C026FC"/>
    <w:p w14:paraId="4255E7D8" w14:textId="77777777" w:rsidR="00C026FC" w:rsidRPr="00C026FC" w:rsidRDefault="00C026FC" w:rsidP="00C026FC">
      <w:pPr>
        <w:jc w:val="both"/>
        <w:rPr>
          <w:rFonts w:ascii="gobCL" w:hAnsi="gobCL"/>
        </w:rPr>
      </w:pPr>
    </w:p>
    <w:p w14:paraId="74AC1FB5" w14:textId="77777777" w:rsidR="00C026FC" w:rsidRPr="00C026FC" w:rsidRDefault="00C026FC" w:rsidP="00C026FC">
      <w:pPr>
        <w:jc w:val="both"/>
        <w:rPr>
          <w:rFonts w:ascii="gobCL" w:hAnsi="gobCL"/>
        </w:rPr>
      </w:pPr>
      <w:r w:rsidRPr="00C026FC">
        <w:rPr>
          <w:rFonts w:ascii="gobCL" w:hAnsi="gobCL"/>
        </w:rPr>
        <w:t>3.- Se necesita saber si un pescador artesanal que es Armador de una embarcación</w:t>
      </w:r>
      <w:r w:rsidR="009129FA">
        <w:t xml:space="preserve"> </w:t>
      </w:r>
      <w:r w:rsidRPr="00C026FC">
        <w:rPr>
          <w:rFonts w:ascii="gobCL" w:hAnsi="gobCL"/>
        </w:rPr>
        <w:t>que tiene inscrito el recurso bacalao de profundidad, en los antecedentes</w:t>
      </w:r>
      <w:r>
        <w:t xml:space="preserve"> </w:t>
      </w:r>
      <w:r w:rsidRPr="00C026FC">
        <w:rPr>
          <w:rFonts w:ascii="gobCL" w:hAnsi="gobCL"/>
        </w:rPr>
        <w:t xml:space="preserve">a presentar en su </w:t>
      </w:r>
      <w:r w:rsidR="009129FA" w:rsidRPr="00C026FC">
        <w:rPr>
          <w:rFonts w:ascii="gobCL" w:hAnsi="gobCL"/>
        </w:rPr>
        <w:t>postulaci</w:t>
      </w:r>
      <w:r w:rsidR="009129FA" w:rsidRPr="00C026FC">
        <w:rPr>
          <w:rFonts w:ascii="gobCL" w:hAnsi="gobCL" w:cs="gobCL"/>
        </w:rPr>
        <w:t>ó</w:t>
      </w:r>
      <w:r w:rsidR="009129FA" w:rsidRPr="00C026FC">
        <w:rPr>
          <w:rFonts w:ascii="gobCL" w:hAnsi="gobCL"/>
        </w:rPr>
        <w:t>n</w:t>
      </w:r>
      <w:r w:rsidR="009129FA">
        <w:t>,</w:t>
      </w:r>
      <w:r w:rsidRPr="00C026FC">
        <w:rPr>
          <w:rFonts w:ascii="gobCL" w:hAnsi="gobCL"/>
        </w:rPr>
        <w:t xml:space="preserve"> solo debe acompa</w:t>
      </w:r>
      <w:r w:rsidRPr="00C026FC">
        <w:rPr>
          <w:rFonts w:ascii="gobCL" w:hAnsi="gobCL" w:cs="gobCL"/>
        </w:rPr>
        <w:t>ñ</w:t>
      </w:r>
      <w:r w:rsidRPr="00C026FC">
        <w:rPr>
          <w:rFonts w:ascii="gobCL" w:hAnsi="gobCL"/>
        </w:rPr>
        <w:t>ar la inscripci</w:t>
      </w:r>
      <w:r w:rsidRPr="00C026FC">
        <w:rPr>
          <w:rFonts w:ascii="gobCL" w:hAnsi="gobCL" w:cs="gobCL"/>
        </w:rPr>
        <w:t>ó</w:t>
      </w:r>
      <w:r w:rsidRPr="00C026FC">
        <w:rPr>
          <w:rFonts w:ascii="gobCL" w:hAnsi="gobCL"/>
        </w:rPr>
        <w:t>n de su embarcaci</w:t>
      </w:r>
      <w:r w:rsidRPr="00C026FC">
        <w:rPr>
          <w:rFonts w:ascii="gobCL" w:hAnsi="gobCL" w:cs="gobCL"/>
        </w:rPr>
        <w:t>ó</w:t>
      </w:r>
      <w:r w:rsidRPr="00C026FC">
        <w:rPr>
          <w:rFonts w:ascii="gobCL" w:hAnsi="gobCL"/>
        </w:rPr>
        <w:t>n en el registro pesquero artesanal</w:t>
      </w:r>
      <w:r w:rsidR="009129FA">
        <w:t xml:space="preserve"> </w:t>
      </w:r>
      <w:r w:rsidRPr="00C026FC">
        <w:rPr>
          <w:rFonts w:ascii="gobCL" w:hAnsi="gobCL"/>
        </w:rPr>
        <w:t xml:space="preserve">de </w:t>
      </w:r>
      <w:proofErr w:type="spellStart"/>
      <w:r w:rsidRPr="00C026FC">
        <w:rPr>
          <w:rFonts w:ascii="gobCL" w:hAnsi="gobCL"/>
        </w:rPr>
        <w:t>Sernapesca</w:t>
      </w:r>
      <w:proofErr w:type="spellEnd"/>
      <w:r w:rsidRPr="00C026FC">
        <w:rPr>
          <w:rFonts w:ascii="gobCL" w:hAnsi="gobCL"/>
        </w:rPr>
        <w:t xml:space="preserve"> o </w:t>
      </w:r>
      <w:r w:rsidR="009129FA">
        <w:rPr>
          <w:rFonts w:ascii="gobCL" w:hAnsi="gobCL"/>
        </w:rPr>
        <w:t>también</w:t>
      </w:r>
      <w:r w:rsidR="009129FA">
        <w:t xml:space="preserve"> </w:t>
      </w:r>
      <w:r w:rsidRPr="00C026FC">
        <w:rPr>
          <w:rFonts w:ascii="gobCL" w:hAnsi="gobCL"/>
        </w:rPr>
        <w:t>la Matr</w:t>
      </w:r>
      <w:r w:rsidRPr="00C026FC">
        <w:rPr>
          <w:rFonts w:ascii="gobCL" w:hAnsi="gobCL" w:cs="gobCL"/>
        </w:rPr>
        <w:t>í</w:t>
      </w:r>
      <w:r w:rsidRPr="00C026FC">
        <w:rPr>
          <w:rFonts w:ascii="gobCL" w:hAnsi="gobCL"/>
        </w:rPr>
        <w:t>cula</w:t>
      </w:r>
      <w:r w:rsidR="009129FA">
        <w:t xml:space="preserve"> </w:t>
      </w:r>
      <w:r w:rsidRPr="00C026FC">
        <w:rPr>
          <w:rFonts w:ascii="gobCL" w:hAnsi="gobCL"/>
        </w:rPr>
        <w:t>de la lancha y Certificado de Navegabilidad de la Embarcaci</w:t>
      </w:r>
      <w:r w:rsidRPr="00C026FC">
        <w:rPr>
          <w:rFonts w:ascii="gobCL" w:hAnsi="gobCL" w:cs="gobCL"/>
        </w:rPr>
        <w:t>ó</w:t>
      </w:r>
      <w:r w:rsidRPr="00C026FC">
        <w:rPr>
          <w:rFonts w:ascii="gobCL" w:hAnsi="gobCL"/>
        </w:rPr>
        <w:t>n.</w:t>
      </w:r>
    </w:p>
    <w:p w14:paraId="0A496595" w14:textId="77777777" w:rsidR="00C026FC" w:rsidRDefault="00C026FC"/>
    <w:p w14:paraId="3CCABE4D" w14:textId="77777777" w:rsidR="009129FA" w:rsidRDefault="009129FA" w:rsidP="009129FA">
      <w:pPr>
        <w:widowControl w:val="0"/>
        <w:jc w:val="both"/>
        <w:rPr>
          <w:rFonts w:ascii="gobCL" w:hAnsi="gobCL" w:cs="Arial"/>
          <w:b/>
          <w:bCs/>
          <w:color w:val="2F5496" w:themeColor="accent1" w:themeShade="BF"/>
          <w:lang w:val="es-ES_tradnl"/>
        </w:rPr>
      </w:pPr>
      <w:r w:rsidRPr="009129FA">
        <w:rPr>
          <w:rFonts w:ascii="gobCL" w:hAnsi="gobCL"/>
          <w:b/>
          <w:bCs/>
          <w:color w:val="2F5496" w:themeColor="accent1" w:themeShade="BF"/>
        </w:rPr>
        <w:t xml:space="preserve">Efectivamente solo debe acompañar </w:t>
      </w:r>
      <w:r w:rsidRPr="009129FA">
        <w:rPr>
          <w:rFonts w:ascii="gobCL" w:eastAsia="Times New Roman" w:hAnsi="gobCL" w:cs="Arial"/>
          <w:b/>
          <w:bCs/>
          <w:snapToGrid w:val="0"/>
          <w:color w:val="2F5496" w:themeColor="accent1" w:themeShade="BF"/>
          <w:lang w:val="es-ES_tradnl" w:eastAsia="es-ES"/>
        </w:rPr>
        <w:t xml:space="preserve">Certificado de inscripción en el Registro Artesanal como armador artesanal, donde conste que tiene el recurso bacalao de profundidad, con una antigüedad </w:t>
      </w:r>
      <w:r w:rsidRPr="008932C3">
        <w:rPr>
          <w:rFonts w:ascii="gobCL" w:eastAsia="Times New Roman" w:hAnsi="gobCL" w:cs="Arial"/>
          <w:b/>
          <w:bCs/>
          <w:snapToGrid w:val="0"/>
          <w:color w:val="2F5496" w:themeColor="accent1" w:themeShade="BF"/>
          <w:u w:val="single"/>
          <w:lang w:val="es-ES_tradnl" w:eastAsia="es-ES"/>
        </w:rPr>
        <w:t>no superior a un mes contado desde la fecha de la subasta</w:t>
      </w:r>
      <w:r w:rsidRPr="009129FA">
        <w:rPr>
          <w:rFonts w:ascii="gobCL" w:eastAsia="Times New Roman" w:hAnsi="gobCL" w:cs="Arial"/>
          <w:b/>
          <w:bCs/>
          <w:snapToGrid w:val="0"/>
          <w:color w:val="2F5496" w:themeColor="accent1" w:themeShade="BF"/>
          <w:lang w:val="es-ES_tradnl" w:eastAsia="es-ES"/>
        </w:rPr>
        <w:t xml:space="preserve">. </w:t>
      </w:r>
      <w:r>
        <w:rPr>
          <w:rFonts w:ascii="gobCL" w:eastAsia="Times New Roman" w:hAnsi="gobCL" w:cs="Arial"/>
          <w:b/>
          <w:bCs/>
          <w:snapToGrid w:val="0"/>
          <w:color w:val="2F5496" w:themeColor="accent1" w:themeShade="BF"/>
          <w:lang w:val="es-ES_tradnl" w:eastAsia="es-ES"/>
        </w:rPr>
        <w:t xml:space="preserve"> </w:t>
      </w:r>
      <w:r w:rsidRPr="009129FA">
        <w:rPr>
          <w:rFonts w:ascii="gobCL" w:eastAsia="Times New Roman" w:hAnsi="gobCL" w:cs="Arial"/>
          <w:b/>
          <w:bCs/>
          <w:snapToGrid w:val="0"/>
          <w:color w:val="2F5496" w:themeColor="accent1" w:themeShade="BF"/>
          <w:lang w:val="es-ES_tradnl" w:eastAsia="es-ES"/>
        </w:rPr>
        <w:t xml:space="preserve">Junto con la </w:t>
      </w:r>
      <w:r w:rsidRPr="009129FA">
        <w:rPr>
          <w:rFonts w:ascii="gobCL" w:hAnsi="gobCL" w:cs="Arial"/>
          <w:b/>
          <w:bCs/>
          <w:color w:val="2F5496" w:themeColor="accent1" w:themeShade="BF"/>
          <w:lang w:val="es-ES_tradnl"/>
        </w:rPr>
        <w:t>garantía de la seriedad de la oferta y la declaración jurada autorizada ante Notario, en que señale que no tiene relación directa o a través de terceras personas con otros participantes de la subasta como filial, matriz, coligada o coligante.</w:t>
      </w:r>
    </w:p>
    <w:p w14:paraId="48F35A27" w14:textId="77777777" w:rsidR="00E91305" w:rsidRDefault="00E91305" w:rsidP="009129FA">
      <w:pPr>
        <w:widowControl w:val="0"/>
        <w:jc w:val="both"/>
        <w:rPr>
          <w:rFonts w:ascii="gobCL" w:hAnsi="gobCL" w:cs="Arial"/>
          <w:b/>
          <w:bCs/>
          <w:color w:val="2F5496" w:themeColor="accent1" w:themeShade="BF"/>
          <w:lang w:val="es-ES_tradnl"/>
        </w:rPr>
      </w:pPr>
    </w:p>
    <w:p w14:paraId="3AD65D44" w14:textId="77777777" w:rsidR="00E91305" w:rsidRPr="00E91305" w:rsidRDefault="00E91305" w:rsidP="00E91305">
      <w:pPr>
        <w:jc w:val="both"/>
        <w:rPr>
          <w:rFonts w:ascii="gobCL" w:hAnsi="gobCL"/>
        </w:rPr>
      </w:pPr>
      <w:r w:rsidRPr="00E91305">
        <w:rPr>
          <w:rFonts w:ascii="gobCL" w:hAnsi="gobCL"/>
        </w:rPr>
        <w:t>4.- Respecto a Resolución N°2395 de fecha 18 de noviembre de 2022, que aprobó las bases de la subasta ordinaria de permiso extraordinario de pesca de Bacalao de Profundidad en la zona al sur del paralelo 47° LS., se necesita saber:</w:t>
      </w:r>
    </w:p>
    <w:p w14:paraId="4CC4BE0A" w14:textId="77777777" w:rsidR="00E91305" w:rsidRPr="00E91305" w:rsidRDefault="00E91305" w:rsidP="00E91305">
      <w:pPr>
        <w:jc w:val="both"/>
        <w:rPr>
          <w:rFonts w:ascii="gobCL" w:hAnsi="gobCL"/>
        </w:rPr>
      </w:pPr>
    </w:p>
    <w:p w14:paraId="32BB5249" w14:textId="77777777" w:rsidR="00E91305" w:rsidRDefault="00E91305" w:rsidP="00E91305">
      <w:pPr>
        <w:pStyle w:val="Prrafodelista"/>
        <w:numPr>
          <w:ilvl w:val="0"/>
          <w:numId w:val="2"/>
        </w:numPr>
        <w:jc w:val="both"/>
        <w:rPr>
          <w:rFonts w:ascii="gobCL" w:hAnsi="gobCL"/>
        </w:rPr>
      </w:pPr>
      <w:r w:rsidRPr="00E91305">
        <w:rPr>
          <w:rFonts w:ascii="gobCL" w:hAnsi="gobCL"/>
        </w:rPr>
        <w:t>En el caso eventual, que por fuerza mayor se tomase</w:t>
      </w:r>
      <w:r>
        <w:t xml:space="preserve"> </w:t>
      </w:r>
      <w:r w:rsidRPr="00E91305">
        <w:rPr>
          <w:rFonts w:ascii="gobCL" w:hAnsi="gobCL"/>
        </w:rPr>
        <w:t>la decisi</w:t>
      </w:r>
      <w:r w:rsidRPr="00E91305">
        <w:rPr>
          <w:rFonts w:ascii="gobCL" w:hAnsi="gobCL" w:cs="gobCL"/>
        </w:rPr>
        <w:t>ó</w:t>
      </w:r>
      <w:r w:rsidRPr="00E91305">
        <w:rPr>
          <w:rFonts w:ascii="gobCL" w:hAnsi="gobCL"/>
        </w:rPr>
        <w:t xml:space="preserve">n de devolver un lote posterior en el tiempo, debidamente adjudicado. </w:t>
      </w:r>
      <w:r w:rsidRPr="00E91305">
        <w:t>¿</w:t>
      </w:r>
      <w:r w:rsidRPr="00E91305">
        <w:rPr>
          <w:rFonts w:ascii="gobCL" w:hAnsi="gobCL"/>
        </w:rPr>
        <w:t>Cuándo sería la fecha para presentar esta renuncia sin costos asociados para un próximo periodo de pesca?</w:t>
      </w:r>
    </w:p>
    <w:p w14:paraId="57508D64" w14:textId="77777777" w:rsidR="00E91305" w:rsidRDefault="00E91305" w:rsidP="00E91305">
      <w:pPr>
        <w:pStyle w:val="Prrafodelista"/>
        <w:jc w:val="both"/>
        <w:rPr>
          <w:rFonts w:ascii="gobCL" w:hAnsi="gobCL"/>
        </w:rPr>
      </w:pPr>
    </w:p>
    <w:p w14:paraId="484D0B1F" w14:textId="77777777" w:rsidR="00E91305" w:rsidRPr="00925DD9" w:rsidRDefault="00B824F6" w:rsidP="00925DD9">
      <w:pPr>
        <w:ind w:left="360"/>
        <w:jc w:val="both"/>
        <w:rPr>
          <w:rFonts w:ascii="gobCL" w:eastAsia="Times New Roman" w:hAnsi="gobCL" w:cs="Arial"/>
          <w:b/>
          <w:bCs/>
          <w:color w:val="2F5496" w:themeColor="accent1" w:themeShade="BF"/>
          <w:lang w:val="es-ES_tradnl" w:eastAsia="es-ES"/>
        </w:rPr>
      </w:pPr>
      <w:r>
        <w:rPr>
          <w:rFonts w:ascii="gobCL" w:eastAsia="Times New Roman" w:hAnsi="gobCL" w:cs="Arial"/>
          <w:b/>
          <w:bCs/>
          <w:color w:val="2F5496" w:themeColor="accent1" w:themeShade="BF"/>
          <w:lang w:val="es-ES_tradnl" w:eastAsia="es-ES"/>
        </w:rPr>
        <w:t>La consulta no dice relación con aclaración de bases.</w:t>
      </w:r>
      <w:r w:rsidR="00D35D5E">
        <w:rPr>
          <w:rFonts w:ascii="gobCL" w:eastAsia="Times New Roman" w:hAnsi="gobCL" w:cs="Arial"/>
          <w:b/>
          <w:bCs/>
          <w:color w:val="2F5496" w:themeColor="accent1" w:themeShade="BF"/>
          <w:lang w:val="es-ES_tradnl" w:eastAsia="es-ES"/>
        </w:rPr>
        <w:t xml:space="preserve"> Sin </w:t>
      </w:r>
      <w:r w:rsidR="00720C1E">
        <w:rPr>
          <w:rFonts w:ascii="gobCL" w:eastAsia="Times New Roman" w:hAnsi="gobCL" w:cs="Arial"/>
          <w:b/>
          <w:bCs/>
          <w:color w:val="2F5496" w:themeColor="accent1" w:themeShade="BF"/>
          <w:lang w:val="es-ES_tradnl" w:eastAsia="es-ES"/>
        </w:rPr>
        <w:t>embargo,</w:t>
      </w:r>
      <w:r w:rsidR="00D35D5E">
        <w:rPr>
          <w:rFonts w:ascii="gobCL" w:eastAsia="Times New Roman" w:hAnsi="gobCL" w:cs="Arial"/>
          <w:b/>
          <w:bCs/>
          <w:color w:val="2F5496" w:themeColor="accent1" w:themeShade="BF"/>
          <w:lang w:val="es-ES_tradnl" w:eastAsia="es-ES"/>
        </w:rPr>
        <w:t xml:space="preserve"> estas indican</w:t>
      </w:r>
      <w:r>
        <w:rPr>
          <w:rFonts w:ascii="gobCL" w:eastAsia="Times New Roman" w:hAnsi="gobCL" w:cs="Arial"/>
          <w:b/>
          <w:bCs/>
          <w:color w:val="2F5496" w:themeColor="accent1" w:themeShade="BF"/>
          <w:lang w:val="es-ES_tradnl" w:eastAsia="es-ES"/>
        </w:rPr>
        <w:t xml:space="preserve"> </w:t>
      </w:r>
      <w:r w:rsidR="00E91305" w:rsidRPr="00925DD9">
        <w:rPr>
          <w:rFonts w:ascii="gobCL" w:eastAsia="Times New Roman" w:hAnsi="gobCL" w:cs="Arial"/>
          <w:b/>
          <w:bCs/>
          <w:color w:val="2F5496" w:themeColor="accent1" w:themeShade="BF"/>
          <w:lang w:val="es-ES_tradnl" w:eastAsia="es-ES"/>
        </w:rPr>
        <w:t xml:space="preserve">que </w:t>
      </w:r>
      <w:r w:rsidR="00E91305" w:rsidRPr="00D35D5E">
        <w:rPr>
          <w:rFonts w:ascii="gobCL" w:eastAsia="Times New Roman" w:hAnsi="gobCL" w:cs="Arial"/>
          <w:b/>
          <w:bCs/>
          <w:color w:val="2F5496" w:themeColor="accent1" w:themeShade="BF"/>
          <w:u w:val="single"/>
          <w:lang w:val="es-ES_tradnl" w:eastAsia="es-ES"/>
        </w:rPr>
        <w:t xml:space="preserve">los pagos se </w:t>
      </w:r>
      <w:r w:rsidR="00D35D5E" w:rsidRPr="00D35D5E">
        <w:rPr>
          <w:rFonts w:ascii="gobCL" w:eastAsia="Times New Roman" w:hAnsi="gobCL" w:cs="Arial"/>
          <w:b/>
          <w:bCs/>
          <w:color w:val="2F5496" w:themeColor="accent1" w:themeShade="BF"/>
          <w:u w:val="single"/>
          <w:lang w:val="es-ES_tradnl" w:eastAsia="es-ES"/>
        </w:rPr>
        <w:t>efectúan</w:t>
      </w:r>
      <w:r w:rsidR="00E91305" w:rsidRPr="00D35D5E">
        <w:rPr>
          <w:rFonts w:ascii="gobCL" w:eastAsia="Times New Roman" w:hAnsi="gobCL" w:cs="Arial"/>
          <w:b/>
          <w:bCs/>
          <w:color w:val="2F5496" w:themeColor="accent1" w:themeShade="BF"/>
          <w:u w:val="single"/>
          <w:lang w:val="es-ES_tradnl" w:eastAsia="es-ES"/>
        </w:rPr>
        <w:t xml:space="preserve"> anticipadamente</w:t>
      </w:r>
      <w:r w:rsidR="00E91305" w:rsidRPr="00925DD9">
        <w:rPr>
          <w:rFonts w:ascii="gobCL" w:eastAsia="Times New Roman" w:hAnsi="gobCL" w:cs="Arial"/>
          <w:b/>
          <w:bCs/>
          <w:color w:val="2F5496" w:themeColor="accent1" w:themeShade="BF"/>
          <w:lang w:val="es-ES_tradnl" w:eastAsia="es-ES"/>
        </w:rPr>
        <w:t xml:space="preserve"> en el mes de diciembre de cada año. </w:t>
      </w:r>
    </w:p>
    <w:p w14:paraId="4EB07D47" w14:textId="77777777" w:rsidR="00E91305" w:rsidRDefault="00E91305" w:rsidP="00E91305">
      <w:pPr>
        <w:pStyle w:val="Prrafodelista"/>
        <w:jc w:val="both"/>
        <w:rPr>
          <w:rFonts w:ascii="gobCL" w:hAnsi="gobCL"/>
        </w:rPr>
      </w:pPr>
    </w:p>
    <w:p w14:paraId="63C2DE8A" w14:textId="77777777" w:rsidR="00E91305" w:rsidRPr="00E91305" w:rsidRDefault="00E91305" w:rsidP="00E91305">
      <w:pPr>
        <w:pStyle w:val="Prrafodelista"/>
        <w:numPr>
          <w:ilvl w:val="0"/>
          <w:numId w:val="2"/>
        </w:numPr>
        <w:jc w:val="both"/>
        <w:rPr>
          <w:rFonts w:ascii="gobCL" w:hAnsi="gobCL"/>
        </w:rPr>
      </w:pPr>
      <w:r w:rsidRPr="00E91305">
        <w:rPr>
          <w:rFonts w:ascii="gobCL" w:hAnsi="gobCL"/>
        </w:rPr>
        <w:t>Se indica que</w:t>
      </w:r>
      <w:r>
        <w:t xml:space="preserve"> </w:t>
      </w:r>
      <w:r w:rsidRPr="00E91305">
        <w:rPr>
          <w:rFonts w:ascii="gobCL" w:hAnsi="gobCL"/>
        </w:rPr>
        <w:t>la primera anualidad se paga dentro de los 5 días hábiles siguientes al día de adjudicación del lote.</w:t>
      </w:r>
      <w:r>
        <w:t xml:space="preserve"> ¿</w:t>
      </w:r>
      <w:r w:rsidRPr="00E91305">
        <w:rPr>
          <w:rFonts w:ascii="gobCL" w:hAnsi="gobCL"/>
        </w:rPr>
        <w:t>qué pasa si un usuario o un postulante que ofert</w:t>
      </w:r>
      <w:r w:rsidRPr="00E91305">
        <w:rPr>
          <w:rFonts w:ascii="gobCL" w:hAnsi="gobCL" w:cs="gobCL"/>
        </w:rPr>
        <w:t>ó</w:t>
      </w:r>
      <w:r w:rsidRPr="00E91305">
        <w:rPr>
          <w:rFonts w:ascii="gobCL" w:hAnsi="gobCL"/>
        </w:rPr>
        <w:t xml:space="preserve"> y adjudic</w:t>
      </w:r>
      <w:r w:rsidRPr="00E91305">
        <w:rPr>
          <w:rFonts w:ascii="gobCL" w:hAnsi="gobCL" w:cs="gobCL"/>
        </w:rPr>
        <w:t>ó</w:t>
      </w:r>
      <w:r w:rsidRPr="00E91305">
        <w:rPr>
          <w:rFonts w:ascii="gobCL" w:hAnsi="gobCL"/>
        </w:rPr>
        <w:t xml:space="preserve"> el lote, no paga la primera anualidad dentro del plazo?</w:t>
      </w:r>
    </w:p>
    <w:p w14:paraId="45E0347E" w14:textId="77777777" w:rsidR="00E91305" w:rsidRDefault="00E91305" w:rsidP="00E91305">
      <w:pPr>
        <w:jc w:val="both"/>
        <w:rPr>
          <w:rFonts w:ascii="gobCL" w:hAnsi="gobCL"/>
        </w:rPr>
      </w:pPr>
    </w:p>
    <w:p w14:paraId="454A8FE1" w14:textId="77777777" w:rsidR="00E91305" w:rsidRPr="00DA6795" w:rsidRDefault="00E91305" w:rsidP="00CD1FA2">
      <w:pPr>
        <w:ind w:left="360"/>
        <w:jc w:val="both"/>
        <w:rPr>
          <w:rFonts w:ascii="gobCL" w:eastAsia="Times New Roman" w:hAnsi="gobCL" w:cs="Arial"/>
          <w:b/>
          <w:bCs/>
          <w:color w:val="2F5496" w:themeColor="accent1" w:themeShade="BF"/>
          <w:u w:val="single"/>
          <w:lang w:val="es-ES_tradnl" w:eastAsia="es-ES"/>
        </w:rPr>
      </w:pPr>
      <w:r w:rsidRPr="00CD1FA2">
        <w:rPr>
          <w:rFonts w:ascii="gobCL" w:eastAsia="Times New Roman" w:hAnsi="gobCL" w:cs="Arial"/>
          <w:b/>
          <w:bCs/>
          <w:color w:val="2F5496" w:themeColor="accent1" w:themeShade="BF"/>
          <w:lang w:val="es-ES_tradnl" w:eastAsia="es-ES"/>
        </w:rPr>
        <w:t xml:space="preserve">Tal como se indica en las bases, el adjudicatario que no diera cumplimiento al pago correspondiente a la primera anualidad de la respectiva oferta adjudicada se entenderá por este sólo hecho como desistido de ella y </w:t>
      </w:r>
      <w:r w:rsidRPr="00DA6795">
        <w:rPr>
          <w:rFonts w:ascii="gobCL" w:eastAsia="Times New Roman" w:hAnsi="gobCL" w:cs="Arial"/>
          <w:b/>
          <w:bCs/>
          <w:color w:val="2F5496" w:themeColor="accent1" w:themeShade="BF"/>
          <w:u w:val="single"/>
          <w:lang w:val="es-ES_tradnl" w:eastAsia="es-ES"/>
        </w:rPr>
        <w:t>se hará efectiva la garantía de seriedad de la oferta.</w:t>
      </w:r>
    </w:p>
    <w:p w14:paraId="587E76DD" w14:textId="77777777" w:rsidR="00E91305" w:rsidRPr="00CD1FA2" w:rsidRDefault="00E91305" w:rsidP="00E91305">
      <w:pPr>
        <w:jc w:val="both"/>
        <w:rPr>
          <w:rFonts w:ascii="gobCL" w:hAnsi="gobCL"/>
          <w:b/>
          <w:bCs/>
          <w:color w:val="2F5496" w:themeColor="accent1" w:themeShade="BF"/>
        </w:rPr>
      </w:pPr>
    </w:p>
    <w:p w14:paraId="06A2EB1C" w14:textId="77777777" w:rsidR="00E91305" w:rsidRPr="00E91305" w:rsidRDefault="00E91305" w:rsidP="00E91305">
      <w:pPr>
        <w:jc w:val="both"/>
        <w:rPr>
          <w:rFonts w:ascii="gobCL" w:hAnsi="gobCL"/>
        </w:rPr>
      </w:pPr>
    </w:p>
    <w:p w14:paraId="33223716" w14:textId="77777777" w:rsidR="00E91305" w:rsidRPr="009129FA" w:rsidRDefault="00E91305" w:rsidP="009129FA">
      <w:pPr>
        <w:widowControl w:val="0"/>
        <w:jc w:val="both"/>
        <w:rPr>
          <w:rFonts w:ascii="gobCL" w:eastAsia="Times New Roman" w:hAnsi="gobCL" w:cs="Arial"/>
          <w:b/>
          <w:bCs/>
          <w:snapToGrid w:val="0"/>
          <w:color w:val="2F5496" w:themeColor="accent1" w:themeShade="BF"/>
          <w:lang w:val="es-ES_tradnl" w:eastAsia="es-ES"/>
        </w:rPr>
      </w:pPr>
    </w:p>
    <w:sectPr w:rsidR="00E91305" w:rsidRPr="009129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ED0"/>
    <w:multiLevelType w:val="hybridMultilevel"/>
    <w:tmpl w:val="F9D864A4"/>
    <w:lvl w:ilvl="0" w:tplc="7818AC00">
      <w:start w:val="1"/>
      <w:numFmt w:val="lowerLetter"/>
      <w:lvlText w:val="%1)"/>
      <w:lvlJc w:val="left"/>
      <w:pPr>
        <w:ind w:left="1778" w:hanging="360"/>
      </w:pPr>
      <w:rPr>
        <w:rFonts w:hint="default"/>
        <w:u w:val="none"/>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 w15:restartNumberingAfterBreak="0">
    <w:nsid w:val="656D53C5"/>
    <w:multiLevelType w:val="hybridMultilevel"/>
    <w:tmpl w:val="32F0A3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69966810">
    <w:abstractNumId w:val="0"/>
  </w:num>
  <w:num w:numId="2" w16cid:durableId="1312177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FC"/>
    <w:rsid w:val="006D2B6A"/>
    <w:rsid w:val="00720C1E"/>
    <w:rsid w:val="008932C3"/>
    <w:rsid w:val="009129FA"/>
    <w:rsid w:val="00925DD9"/>
    <w:rsid w:val="00B6517C"/>
    <w:rsid w:val="00B824F6"/>
    <w:rsid w:val="00C026FC"/>
    <w:rsid w:val="00CD1FA2"/>
    <w:rsid w:val="00D35D5E"/>
    <w:rsid w:val="00DA6795"/>
    <w:rsid w:val="00E913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2300"/>
  <w15:chartTrackingRefBased/>
  <w15:docId w15:val="{A7C54554-BB04-4663-81B6-B6BC1C60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FC"/>
    <w:pPr>
      <w:spacing w:after="0" w:line="240" w:lineRule="auto"/>
    </w:pPr>
    <w:rPr>
      <w:rFonts w:ascii="Calibri" w:hAnsi="Calibri" w:cs="Calibri"/>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73342">
      <w:bodyDiv w:val="1"/>
      <w:marLeft w:val="0"/>
      <w:marRight w:val="0"/>
      <w:marTop w:val="0"/>
      <w:marBottom w:val="0"/>
      <w:divBdr>
        <w:top w:val="none" w:sz="0" w:space="0" w:color="auto"/>
        <w:left w:val="none" w:sz="0" w:space="0" w:color="auto"/>
        <w:bottom w:val="none" w:sz="0" w:space="0" w:color="auto"/>
        <w:right w:val="none" w:sz="0" w:space="0" w:color="auto"/>
      </w:divBdr>
    </w:div>
    <w:div w:id="176295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bastapublica@subpesca.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Ortiz</dc:creator>
  <cp:keywords/>
  <dc:description/>
  <cp:lastModifiedBy>Leonardo Rivas</cp:lastModifiedBy>
  <cp:revision>2</cp:revision>
  <cp:lastPrinted>2022-11-29T19:47:00Z</cp:lastPrinted>
  <dcterms:created xsi:type="dcterms:W3CDTF">2022-11-29T19:54:00Z</dcterms:created>
  <dcterms:modified xsi:type="dcterms:W3CDTF">2022-11-29T19:54:00Z</dcterms:modified>
</cp:coreProperties>
</file>