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8AA" w:rsidRPr="00622A28" w:rsidRDefault="002028AA" w:rsidP="00BA37C5">
      <w:pPr>
        <w:pStyle w:val="Prrafodelista"/>
        <w:jc w:val="both"/>
        <w:rPr>
          <w:rFonts w:ascii="gobCL" w:hAnsi="gobCL"/>
          <w:b/>
          <w:u w:val="single"/>
        </w:rPr>
      </w:pPr>
      <w:r w:rsidRPr="00622A28">
        <w:rPr>
          <w:rFonts w:ascii="gobCL" w:hAnsi="gobCL"/>
          <w:b/>
          <w:u w:val="single"/>
        </w:rPr>
        <w:t>ACLARACIONES A BASES ADMINISTRATIVAS SUBASTA PERMISOS EXTRAORDINARIOS DE PESCA</w:t>
      </w:r>
    </w:p>
    <w:p w:rsidR="002028AA" w:rsidRPr="00622A28" w:rsidRDefault="002028AA" w:rsidP="002028AA">
      <w:pPr>
        <w:pStyle w:val="Prrafodelista"/>
        <w:jc w:val="both"/>
        <w:rPr>
          <w:rFonts w:ascii="gobCL" w:hAnsi="gobCL"/>
          <w:b/>
        </w:rPr>
      </w:pPr>
    </w:p>
    <w:p w:rsidR="002028AA" w:rsidRPr="00622A28" w:rsidRDefault="002028AA" w:rsidP="00BA37C5">
      <w:pPr>
        <w:jc w:val="both"/>
        <w:rPr>
          <w:rFonts w:ascii="gobCL" w:hAnsi="gobCL"/>
        </w:rPr>
      </w:pPr>
      <w:r w:rsidRPr="00622A28">
        <w:rPr>
          <w:rFonts w:ascii="gobCL" w:hAnsi="gobCL"/>
          <w:b/>
        </w:rPr>
        <w:t xml:space="preserve">Aclaraciones a las bases dirigidas al correo electrónico </w:t>
      </w:r>
      <w:hyperlink r:id="rId8" w:history="1">
        <w:r w:rsidRPr="00622A28">
          <w:rPr>
            <w:rStyle w:val="Hipervnculo"/>
            <w:rFonts w:ascii="gobCL" w:hAnsi="gobCL"/>
            <w:b/>
          </w:rPr>
          <w:t>subastapublica@subpesca.cl</w:t>
        </w:r>
      </w:hyperlink>
      <w:r w:rsidRPr="00622A28">
        <w:rPr>
          <w:rFonts w:ascii="gobCL" w:hAnsi="gobCL"/>
          <w:b/>
        </w:rPr>
        <w:t xml:space="preserve"> a la fecha de </w:t>
      </w:r>
      <w:r w:rsidR="009C2A45" w:rsidRPr="00622A28">
        <w:rPr>
          <w:rFonts w:ascii="gobCL" w:hAnsi="gobCL"/>
          <w:b/>
        </w:rPr>
        <w:t>28</w:t>
      </w:r>
      <w:r w:rsidRPr="00622A28">
        <w:rPr>
          <w:rFonts w:ascii="gobCL" w:hAnsi="gobCL"/>
          <w:b/>
        </w:rPr>
        <w:t xml:space="preserve"> </w:t>
      </w:r>
      <w:r w:rsidR="009C2A45" w:rsidRPr="00622A28">
        <w:rPr>
          <w:rFonts w:ascii="gobCL" w:hAnsi="gobCL"/>
          <w:b/>
        </w:rPr>
        <w:t>noviembre</w:t>
      </w:r>
      <w:r w:rsidRPr="00622A28">
        <w:rPr>
          <w:rFonts w:ascii="gobCL" w:hAnsi="gobCL"/>
          <w:b/>
        </w:rPr>
        <w:t xml:space="preserve"> de 202</w:t>
      </w:r>
      <w:r w:rsidR="009C2A45" w:rsidRPr="00622A28">
        <w:rPr>
          <w:rFonts w:ascii="gobCL" w:hAnsi="gobCL"/>
          <w:b/>
        </w:rPr>
        <w:t>2</w:t>
      </w:r>
      <w:r w:rsidRPr="00622A28">
        <w:rPr>
          <w:rFonts w:ascii="gobCL" w:hAnsi="gobCL"/>
          <w:b/>
        </w:rPr>
        <w:t>, según el orden de llegada y dentro del plazo de 3 días hábiles.</w:t>
      </w:r>
    </w:p>
    <w:p w:rsidR="00152B21" w:rsidRPr="00622A28" w:rsidRDefault="00152B21" w:rsidP="00D20F14">
      <w:pPr>
        <w:spacing w:line="240" w:lineRule="auto"/>
        <w:jc w:val="both"/>
        <w:rPr>
          <w:rFonts w:ascii="gobCL" w:hAnsi="gobCL"/>
        </w:rPr>
      </w:pPr>
      <w:r w:rsidRPr="00622A28">
        <w:rPr>
          <w:rFonts w:ascii="gobCL" w:hAnsi="gobCL"/>
        </w:rPr>
        <w:t>1.- Solicito a usted aclarar el punto 8</w:t>
      </w:r>
      <w:r w:rsidR="00650AD5" w:rsidRPr="00622A28">
        <w:rPr>
          <w:rFonts w:ascii="gobCL" w:hAnsi="gobCL"/>
        </w:rPr>
        <w:t>°</w:t>
      </w:r>
      <w:r w:rsidRPr="00622A28">
        <w:rPr>
          <w:rFonts w:ascii="gobCL" w:hAnsi="gobCL"/>
        </w:rPr>
        <w:t xml:space="preserve"> sobre N </w:t>
      </w:r>
      <w:r w:rsidR="008C65A4" w:rsidRPr="00622A28">
        <w:rPr>
          <w:rFonts w:ascii="gobCL" w:hAnsi="gobCL"/>
        </w:rPr>
        <w:t>1</w:t>
      </w:r>
      <w:r w:rsidR="008C65A4" w:rsidRPr="00622A28">
        <w:rPr>
          <w:rFonts w:ascii="Calibri" w:hAnsi="Calibri" w:cs="Calibri"/>
        </w:rPr>
        <w:t> </w:t>
      </w:r>
      <w:r w:rsidR="008C65A4" w:rsidRPr="00622A28">
        <w:rPr>
          <w:rFonts w:ascii="gobCL" w:hAnsi="gobCL" w:cs="Calibri"/>
        </w:rPr>
        <w:t>“</w:t>
      </w:r>
      <w:r w:rsidR="00650AD5" w:rsidRPr="00622A28">
        <w:rPr>
          <w:rFonts w:ascii="gobCL" w:hAnsi="gobCL" w:cs="Calibri"/>
        </w:rPr>
        <w:t>Antecedentes</w:t>
      </w:r>
      <w:r w:rsidRPr="00622A28">
        <w:rPr>
          <w:rFonts w:ascii="gobCL" w:hAnsi="gobCL"/>
        </w:rPr>
        <w:t xml:space="preserve"> </w:t>
      </w:r>
      <w:r w:rsidR="008C65A4" w:rsidRPr="00622A28">
        <w:rPr>
          <w:rFonts w:ascii="gobCL" w:hAnsi="gobCL"/>
        </w:rPr>
        <w:t>A</w:t>
      </w:r>
      <w:r w:rsidRPr="00622A28">
        <w:rPr>
          <w:rFonts w:ascii="gobCL" w:hAnsi="gobCL"/>
        </w:rPr>
        <w:t>dministrativos</w:t>
      </w:r>
      <w:r w:rsidR="00650AD5" w:rsidRPr="00622A28">
        <w:rPr>
          <w:rFonts w:ascii="gobCL" w:hAnsi="gobCL"/>
        </w:rPr>
        <w:t>”</w:t>
      </w:r>
      <w:r w:rsidRPr="00622A28">
        <w:rPr>
          <w:rFonts w:ascii="gobCL" w:hAnsi="gobCL"/>
        </w:rPr>
        <w:t>, letra A con respecto a la garantía de la seriedad de la oferta.</w:t>
      </w:r>
    </w:p>
    <w:p w:rsidR="00152B21" w:rsidRPr="00622A28" w:rsidRDefault="00152B21" w:rsidP="00D20F14">
      <w:pPr>
        <w:spacing w:line="240" w:lineRule="auto"/>
        <w:jc w:val="both"/>
        <w:rPr>
          <w:rFonts w:ascii="gobCL" w:hAnsi="gobCL"/>
        </w:rPr>
      </w:pPr>
      <w:r w:rsidRPr="00622A28">
        <w:rPr>
          <w:rFonts w:ascii="gobCL" w:hAnsi="gobCL"/>
        </w:rPr>
        <w:t>El vale vista es la cantidad total en UTM por los años a subastar.</w:t>
      </w:r>
    </w:p>
    <w:p w:rsidR="00152B21" w:rsidRPr="00622A28" w:rsidRDefault="00152B21" w:rsidP="00D20F14">
      <w:pPr>
        <w:spacing w:line="240" w:lineRule="auto"/>
        <w:jc w:val="both"/>
        <w:rPr>
          <w:rFonts w:ascii="gobCL" w:hAnsi="gobCL"/>
          <w:b/>
          <w:color w:val="2F5496" w:themeColor="accent1" w:themeShade="BF"/>
        </w:rPr>
      </w:pPr>
      <w:r w:rsidRPr="00622A28">
        <w:rPr>
          <w:rFonts w:ascii="gobCL" w:hAnsi="gobCL"/>
          <w:b/>
          <w:color w:val="2F5496" w:themeColor="accent1" w:themeShade="BF"/>
        </w:rPr>
        <w:t xml:space="preserve">Efectivamente el valor del documento de garantía </w:t>
      </w:r>
      <w:r w:rsidR="002028AA" w:rsidRPr="00622A28">
        <w:rPr>
          <w:rFonts w:ascii="gobCL" w:hAnsi="gobCL"/>
          <w:b/>
          <w:color w:val="2F5496" w:themeColor="accent1" w:themeShade="BF"/>
        </w:rPr>
        <w:t>corresponde a</w:t>
      </w:r>
      <w:r w:rsidRPr="00622A28">
        <w:rPr>
          <w:rFonts w:ascii="gobCL" w:hAnsi="gobCL"/>
          <w:b/>
          <w:color w:val="2F5496" w:themeColor="accent1" w:themeShade="BF"/>
        </w:rPr>
        <w:t xml:space="preserve"> la suma total de años a licitar que señal</w:t>
      </w:r>
      <w:r w:rsidR="002028AA" w:rsidRPr="00622A28">
        <w:rPr>
          <w:rFonts w:ascii="gobCL" w:hAnsi="gobCL"/>
          <w:b/>
          <w:color w:val="2F5496" w:themeColor="accent1" w:themeShade="BF"/>
        </w:rPr>
        <w:t>an</w:t>
      </w:r>
      <w:r w:rsidRPr="00622A28">
        <w:rPr>
          <w:rFonts w:ascii="gobCL" w:hAnsi="gobCL"/>
          <w:b/>
          <w:color w:val="2F5496" w:themeColor="accent1" w:themeShade="BF"/>
        </w:rPr>
        <w:t xml:space="preserve"> las bases</w:t>
      </w:r>
      <w:r w:rsidR="002028AA" w:rsidRPr="00622A28">
        <w:rPr>
          <w:rFonts w:ascii="gobCL" w:hAnsi="gobCL"/>
          <w:b/>
          <w:color w:val="2F5496" w:themeColor="accent1" w:themeShade="BF"/>
        </w:rPr>
        <w:t xml:space="preserve"> respectivas, expresado en UTM</w:t>
      </w:r>
      <w:r w:rsidRPr="00622A28">
        <w:rPr>
          <w:rFonts w:ascii="gobCL" w:hAnsi="gobCL"/>
          <w:b/>
          <w:color w:val="2F5496" w:themeColor="accent1" w:themeShade="BF"/>
        </w:rPr>
        <w:t>.</w:t>
      </w:r>
    </w:p>
    <w:p w:rsidR="00622A28" w:rsidRPr="00622A28" w:rsidRDefault="00622A28" w:rsidP="00622A28">
      <w:pPr>
        <w:spacing w:after="0" w:line="240" w:lineRule="auto"/>
        <w:jc w:val="both"/>
        <w:rPr>
          <w:rFonts w:ascii="gobCL" w:eastAsia="Calibri" w:hAnsi="gobCL" w:cs="Calibri"/>
          <w:lang w:eastAsia="es-CL"/>
        </w:rPr>
      </w:pPr>
      <w:r w:rsidRPr="00622A28">
        <w:rPr>
          <w:rFonts w:ascii="gobCL" w:eastAsia="Calibri" w:hAnsi="gobCL" w:cs="Calibri"/>
          <w:lang w:eastAsia="es-CL"/>
        </w:rPr>
        <w:t xml:space="preserve">2.- </w:t>
      </w:r>
      <w:r w:rsidRPr="00622A28">
        <w:rPr>
          <w:rFonts w:ascii="gobCL" w:eastAsia="Calibri" w:hAnsi="gobCL" w:cs="Calibri"/>
          <w:lang w:eastAsia="es-CL"/>
        </w:rPr>
        <w:t>Respecto a Resolución N°2395 de fecha 18 de noviembre de 2022, que aprobó las bases de la subasta ordinaria de permiso extraordinario de pesca de Bacalao de Profundidad en la zona al sur del paralelo 47° LS., se necesita saber:</w:t>
      </w:r>
    </w:p>
    <w:p w:rsidR="00622A28" w:rsidRPr="00622A28" w:rsidRDefault="00622A28" w:rsidP="00622A28">
      <w:pPr>
        <w:spacing w:after="0" w:line="240" w:lineRule="auto"/>
        <w:jc w:val="both"/>
        <w:rPr>
          <w:rFonts w:ascii="gobCL" w:eastAsia="Calibri" w:hAnsi="gobCL" w:cs="Calibri"/>
          <w:lang w:eastAsia="es-CL"/>
        </w:rPr>
      </w:pPr>
    </w:p>
    <w:p w:rsidR="00622A28" w:rsidRPr="00622A28" w:rsidRDefault="00622A28" w:rsidP="00622A28">
      <w:pPr>
        <w:pStyle w:val="Prrafodelista"/>
        <w:numPr>
          <w:ilvl w:val="0"/>
          <w:numId w:val="1"/>
        </w:numPr>
        <w:jc w:val="both"/>
        <w:rPr>
          <w:rFonts w:ascii="gobCL" w:eastAsia="Calibri" w:hAnsi="gobCL" w:cs="Calibri"/>
        </w:rPr>
      </w:pPr>
      <w:r w:rsidRPr="00622A28">
        <w:rPr>
          <w:rFonts w:ascii="gobCL" w:eastAsia="Calibri" w:hAnsi="gobCL" w:cs="Calibri"/>
        </w:rPr>
        <w:t xml:space="preserve"> Si el 10% que figura en las bases, está dirigido para el sector industrial o también puede participar el sector artesanal.</w:t>
      </w:r>
    </w:p>
    <w:p w:rsidR="00622A28" w:rsidRPr="00622A28" w:rsidRDefault="00622A28" w:rsidP="00622A28">
      <w:pPr>
        <w:spacing w:after="0" w:line="240" w:lineRule="auto"/>
        <w:jc w:val="both"/>
        <w:rPr>
          <w:rFonts w:ascii="gobCL" w:eastAsia="Calibri" w:hAnsi="gobCL" w:cs="Calibri"/>
          <w:lang w:eastAsia="es-CL"/>
        </w:rPr>
      </w:pPr>
    </w:p>
    <w:p w:rsidR="00622A28" w:rsidRPr="007B0AE0" w:rsidRDefault="00622A28" w:rsidP="007B0AE0">
      <w:pPr>
        <w:spacing w:line="240" w:lineRule="auto"/>
        <w:jc w:val="both"/>
        <w:rPr>
          <w:rFonts w:ascii="gobCL" w:hAnsi="gobCL"/>
          <w:b/>
          <w:color w:val="2F5496" w:themeColor="accent1" w:themeShade="BF"/>
        </w:rPr>
      </w:pPr>
      <w:r w:rsidRPr="007B0AE0">
        <w:rPr>
          <w:rFonts w:ascii="gobCL" w:hAnsi="gobCL"/>
          <w:b/>
          <w:color w:val="2F5496" w:themeColor="accent1" w:themeShade="BF"/>
        </w:rPr>
        <w:t>Es la subasta ordinaria donde puede participar:</w:t>
      </w:r>
    </w:p>
    <w:p w:rsidR="00622A28" w:rsidRPr="00622A28" w:rsidRDefault="00622A28" w:rsidP="007B0AE0">
      <w:pPr>
        <w:spacing w:line="240" w:lineRule="auto"/>
        <w:jc w:val="both"/>
        <w:rPr>
          <w:rFonts w:ascii="gobCL" w:hAnsi="gobCL"/>
          <w:b/>
          <w:color w:val="2F5496" w:themeColor="accent1" w:themeShade="BF"/>
        </w:rPr>
      </w:pPr>
    </w:p>
    <w:p w:rsidR="00622A28" w:rsidRPr="007B0AE0" w:rsidRDefault="00622A28" w:rsidP="007B0AE0">
      <w:pPr>
        <w:pStyle w:val="Prrafodelista"/>
        <w:numPr>
          <w:ilvl w:val="0"/>
          <w:numId w:val="3"/>
        </w:numPr>
        <w:jc w:val="both"/>
        <w:rPr>
          <w:rFonts w:ascii="gobCL" w:hAnsi="gobCL"/>
          <w:b/>
          <w:color w:val="2F5496" w:themeColor="accent1" w:themeShade="BF"/>
        </w:rPr>
      </w:pPr>
      <w:r w:rsidRPr="007B0AE0">
        <w:rPr>
          <w:rFonts w:ascii="gobCL" w:hAnsi="gobCL"/>
          <w:b/>
          <w:color w:val="2F5496" w:themeColor="accent1" w:themeShade="BF"/>
        </w:rPr>
        <w:t xml:space="preserve">Las personas naturales chilenas y extranjeras con residencia definitiva en el país. </w:t>
      </w:r>
    </w:p>
    <w:p w:rsidR="00622A28" w:rsidRPr="007B0AE0" w:rsidRDefault="00622A28" w:rsidP="007B0AE0">
      <w:pPr>
        <w:pStyle w:val="Prrafodelista"/>
        <w:numPr>
          <w:ilvl w:val="0"/>
          <w:numId w:val="3"/>
        </w:numPr>
        <w:jc w:val="both"/>
        <w:rPr>
          <w:rFonts w:ascii="gobCL" w:hAnsi="gobCL"/>
          <w:b/>
          <w:color w:val="2F5496" w:themeColor="accent1" w:themeShade="BF"/>
        </w:rPr>
      </w:pPr>
      <w:r w:rsidRPr="007B0AE0">
        <w:rPr>
          <w:rFonts w:ascii="gobCL" w:hAnsi="gobCL"/>
          <w:b/>
          <w:color w:val="2F5496" w:themeColor="accent1" w:themeShade="BF"/>
        </w:rPr>
        <w:t xml:space="preserve">Las personas jurídicas constituidas legalmente en Chile. </w:t>
      </w:r>
    </w:p>
    <w:p w:rsidR="00622A28" w:rsidRPr="007B0AE0" w:rsidRDefault="00622A28" w:rsidP="007B0AE0">
      <w:pPr>
        <w:spacing w:line="240" w:lineRule="auto"/>
        <w:jc w:val="both"/>
        <w:rPr>
          <w:rFonts w:ascii="gobCL" w:hAnsi="gobCL"/>
          <w:b/>
          <w:color w:val="2F5496" w:themeColor="accent1" w:themeShade="BF"/>
        </w:rPr>
      </w:pPr>
    </w:p>
    <w:p w:rsidR="00622A28" w:rsidRPr="007B0AE0" w:rsidRDefault="00622A28" w:rsidP="007B0AE0">
      <w:pPr>
        <w:spacing w:line="240" w:lineRule="auto"/>
        <w:jc w:val="both"/>
        <w:rPr>
          <w:rFonts w:ascii="gobCL" w:hAnsi="gobCL"/>
          <w:b/>
          <w:color w:val="2F5496" w:themeColor="accent1" w:themeShade="BF"/>
        </w:rPr>
      </w:pPr>
      <w:r w:rsidRPr="007B0AE0">
        <w:rPr>
          <w:rFonts w:ascii="gobCL" w:hAnsi="gobCL"/>
          <w:b/>
          <w:color w:val="2F5496" w:themeColor="accent1" w:themeShade="BF"/>
        </w:rPr>
        <w:t>Por lo que pueden participar interesados</w:t>
      </w:r>
      <w:r w:rsidR="007B0AE0" w:rsidRPr="007B0AE0">
        <w:rPr>
          <w:rFonts w:ascii="gobCL" w:hAnsi="gobCL"/>
          <w:b/>
          <w:color w:val="2F5496" w:themeColor="accent1" w:themeShade="BF"/>
        </w:rPr>
        <w:t xml:space="preserve"> del sector industrial y artesanal, </w:t>
      </w:r>
      <w:r w:rsidRPr="007B0AE0">
        <w:rPr>
          <w:rFonts w:ascii="gobCL" w:hAnsi="gobCL"/>
          <w:b/>
          <w:color w:val="2F5496" w:themeColor="accent1" w:themeShade="BF"/>
        </w:rPr>
        <w:t>que cumplan los requisitos indicados en las bases</w:t>
      </w:r>
    </w:p>
    <w:p w:rsidR="00622A28" w:rsidRPr="00622A28" w:rsidRDefault="00622A28" w:rsidP="00622A28">
      <w:pPr>
        <w:spacing w:after="0" w:line="240" w:lineRule="auto"/>
        <w:jc w:val="both"/>
        <w:rPr>
          <w:rFonts w:ascii="gobCL" w:eastAsia="Calibri" w:hAnsi="gobCL" w:cs="Calibri"/>
          <w:lang w:eastAsia="es-CL"/>
        </w:rPr>
      </w:pPr>
    </w:p>
    <w:p w:rsidR="00622A28" w:rsidRDefault="00622A28" w:rsidP="00622A28">
      <w:pPr>
        <w:pStyle w:val="Prrafodelista"/>
        <w:numPr>
          <w:ilvl w:val="0"/>
          <w:numId w:val="1"/>
        </w:numPr>
        <w:jc w:val="both"/>
        <w:rPr>
          <w:rFonts w:ascii="gobCL" w:eastAsia="Calibri" w:hAnsi="gobCL" w:cs="Calibri"/>
        </w:rPr>
      </w:pPr>
      <w:r w:rsidRPr="00622A28">
        <w:rPr>
          <w:rFonts w:ascii="gobCL" w:eastAsia="Calibri" w:hAnsi="gobCL" w:cs="Calibri"/>
        </w:rPr>
        <w:t>Que</w:t>
      </w:r>
      <w:r w:rsidRPr="00622A28">
        <w:rPr>
          <w:rFonts w:ascii="gobCL" w:eastAsia="Calibri" w:hAnsi="gobCL" w:cs="Calibri"/>
        </w:rPr>
        <w:t xml:space="preserve"> en la consulta hecha con el N°1 que en el caso que un pescador artesanal pueda ser oferente en esta subasta ordinaria, en caso de adjudicarse uno o más lotes, el pago del derecho anual se aplicaría que este se haga en 2 cuotas, es decir, una con vencimiento en el mes de junio de 2023 y la otra el 31 de diciembre del 2023.</w:t>
      </w:r>
    </w:p>
    <w:p w:rsidR="007B0AE0" w:rsidRDefault="007B0AE0" w:rsidP="007B0AE0">
      <w:pPr>
        <w:pStyle w:val="Prrafodelista"/>
        <w:jc w:val="both"/>
        <w:rPr>
          <w:rFonts w:ascii="gobCL" w:eastAsia="Calibri" w:hAnsi="gobCL" w:cs="Calibri"/>
        </w:rPr>
      </w:pPr>
    </w:p>
    <w:p w:rsidR="007B0AE0" w:rsidRPr="007B0AE0" w:rsidRDefault="007B0AE0" w:rsidP="007B0AE0">
      <w:pPr>
        <w:spacing w:line="240" w:lineRule="auto"/>
        <w:jc w:val="both"/>
        <w:rPr>
          <w:rFonts w:ascii="gobCL" w:hAnsi="gobCL"/>
          <w:b/>
          <w:color w:val="2F5496" w:themeColor="accent1" w:themeShade="BF"/>
        </w:rPr>
      </w:pPr>
      <w:r w:rsidRPr="007B0AE0">
        <w:rPr>
          <w:rFonts w:ascii="gobCL" w:hAnsi="gobCL"/>
          <w:b/>
          <w:color w:val="2F5496" w:themeColor="accent1" w:themeShade="BF"/>
        </w:rPr>
        <w:t>El pago no se divide en cuotas, la primera anualidad se paga dentro de los 5 días hábiles siguientes a día de adjudicación del lote, todo ello de acuerdo con lo indicado en el punto 16 de bases:</w:t>
      </w:r>
    </w:p>
    <w:p w:rsidR="007B0AE0" w:rsidRPr="007B0AE0" w:rsidRDefault="007B0AE0" w:rsidP="007B0AE0">
      <w:pPr>
        <w:spacing w:line="240" w:lineRule="auto"/>
        <w:jc w:val="both"/>
        <w:rPr>
          <w:rFonts w:ascii="gobCL" w:hAnsi="gobCL"/>
          <w:b/>
          <w:color w:val="2F5496" w:themeColor="accent1" w:themeShade="BF"/>
        </w:rPr>
      </w:pPr>
      <w:r w:rsidRPr="007B0AE0">
        <w:rPr>
          <w:rFonts w:ascii="gobCL" w:hAnsi="gobCL"/>
          <w:b/>
          <w:color w:val="2F5496" w:themeColor="accent1" w:themeShade="BF"/>
        </w:rPr>
        <w:t>16.- PAGOS Y ANUALIDADES. - El monto total expresado en UTM de cada oferta adjudicada se dividirá en 10 anualidades iguales. Los pagos se efectuarán anticipadamente en el mes de diciembre de cada año. No obstante, el primero de estos deberá efectuarse dentro de los 5 días hábiles siguientes al día de la adjudicación del lote en la subasta.</w:t>
      </w:r>
    </w:p>
    <w:p w:rsidR="00622A28" w:rsidRPr="00622A28" w:rsidRDefault="00622A28" w:rsidP="00622A28">
      <w:pPr>
        <w:spacing w:after="0" w:line="240" w:lineRule="auto"/>
        <w:jc w:val="both"/>
        <w:rPr>
          <w:rFonts w:ascii="gobCL" w:eastAsia="Calibri" w:hAnsi="gobCL" w:cs="Calibri"/>
          <w:lang w:eastAsia="es-CL"/>
        </w:rPr>
      </w:pPr>
    </w:p>
    <w:p w:rsidR="007B0AE0" w:rsidRDefault="00622A28" w:rsidP="007B0AE0">
      <w:pPr>
        <w:pStyle w:val="Prrafodelista"/>
        <w:numPr>
          <w:ilvl w:val="0"/>
          <w:numId w:val="1"/>
        </w:numPr>
        <w:jc w:val="both"/>
        <w:rPr>
          <w:rFonts w:ascii="gobCL" w:eastAsia="Calibri" w:hAnsi="gobCL" w:cs="Calibri"/>
        </w:rPr>
      </w:pPr>
      <w:r w:rsidRPr="00622A28">
        <w:rPr>
          <w:rFonts w:ascii="gobCL" w:eastAsia="Calibri" w:hAnsi="gobCL" w:cs="Calibri"/>
        </w:rPr>
        <w:t>En los lotes señalados en que el adjudicatario sea pescador artesanal, deberá pagar la anualidad en la forma que se aplica al sector industrial, es decir, dentro de los 10 días de haberse adjudicado uno o más lotes.</w:t>
      </w:r>
    </w:p>
    <w:p w:rsidR="007B0AE0" w:rsidRDefault="007B0AE0" w:rsidP="007B0AE0">
      <w:pPr>
        <w:pStyle w:val="Prrafodelista"/>
        <w:jc w:val="both"/>
        <w:rPr>
          <w:rFonts w:ascii="gobCL" w:eastAsia="Calibri" w:hAnsi="gobCL" w:cs="Calibri"/>
        </w:rPr>
      </w:pPr>
    </w:p>
    <w:p w:rsidR="007B0AE0" w:rsidRPr="007B0AE0" w:rsidRDefault="007B0AE0" w:rsidP="007B0AE0">
      <w:pPr>
        <w:spacing w:line="240" w:lineRule="auto"/>
        <w:jc w:val="both"/>
        <w:rPr>
          <w:rFonts w:ascii="gobCL" w:hAnsi="gobCL"/>
          <w:b/>
          <w:color w:val="2F5496" w:themeColor="accent1" w:themeShade="BF"/>
        </w:rPr>
      </w:pPr>
      <w:r w:rsidRPr="007B0AE0">
        <w:rPr>
          <w:rFonts w:ascii="gobCL" w:hAnsi="gobCL"/>
          <w:b/>
          <w:color w:val="2F5496" w:themeColor="accent1" w:themeShade="BF"/>
        </w:rPr>
        <w:t xml:space="preserve">Tal como se indica en la respuesta anterior, dentro </w:t>
      </w:r>
      <w:r w:rsidRPr="007B0AE0">
        <w:rPr>
          <w:rFonts w:ascii="gobCL" w:hAnsi="gobCL"/>
          <w:b/>
          <w:color w:val="2F5496" w:themeColor="accent1" w:themeShade="BF"/>
        </w:rPr>
        <w:t>de los 5 días hábiles siguientes al día de la adjudicación del lote en la subasta.</w:t>
      </w:r>
    </w:p>
    <w:p w:rsidR="00622A28" w:rsidRPr="00622A28" w:rsidRDefault="00622A28" w:rsidP="00622A28">
      <w:pPr>
        <w:spacing w:after="0" w:line="240" w:lineRule="auto"/>
        <w:jc w:val="both"/>
        <w:rPr>
          <w:rFonts w:ascii="gobCL" w:eastAsia="Calibri" w:hAnsi="gobCL" w:cs="Calibri"/>
          <w:lang w:eastAsia="es-CL"/>
        </w:rPr>
      </w:pPr>
    </w:p>
    <w:p w:rsidR="00622A28" w:rsidRPr="00622A28" w:rsidRDefault="00622A28" w:rsidP="00622A28">
      <w:pPr>
        <w:pStyle w:val="Prrafodelista"/>
        <w:numPr>
          <w:ilvl w:val="0"/>
          <w:numId w:val="1"/>
        </w:numPr>
        <w:jc w:val="both"/>
        <w:rPr>
          <w:rFonts w:ascii="gobCL" w:eastAsia="Calibri" w:hAnsi="gobCL" w:cs="Calibri"/>
        </w:rPr>
      </w:pPr>
      <w:r w:rsidRPr="00622A28">
        <w:rPr>
          <w:rFonts w:ascii="gobCL" w:eastAsia="Calibri" w:hAnsi="gobCL" w:cs="Calibri"/>
        </w:rPr>
        <w:t>Que,</w:t>
      </w:r>
      <w:r w:rsidRPr="00622A28">
        <w:rPr>
          <w:rFonts w:ascii="gobCL" w:eastAsia="Calibri" w:hAnsi="gobCL" w:cs="Calibri"/>
        </w:rPr>
        <w:t xml:space="preserve"> si un pescador artesanal postule a la subasta ordinaria de PEP y a la subasta de reasignación fracción artesanal de PEP, ambos de Bacalao de Profundidad, debe presentar un único sobre o un sobre por cada postulación, es decir, uno por la subasta ordinaria y otro por la subasta de reasignación.</w:t>
      </w:r>
    </w:p>
    <w:p w:rsidR="00622A28" w:rsidRDefault="00622A28" w:rsidP="00622A28">
      <w:pPr>
        <w:spacing w:after="0" w:line="240" w:lineRule="auto"/>
        <w:jc w:val="both"/>
        <w:rPr>
          <w:rFonts w:ascii="gobCL" w:eastAsia="Calibri" w:hAnsi="gobCL" w:cs="Calibri"/>
          <w:lang w:eastAsia="es-CL"/>
        </w:rPr>
      </w:pPr>
    </w:p>
    <w:p w:rsidR="007B0AE0" w:rsidRPr="00622A28" w:rsidRDefault="007B0AE0" w:rsidP="007B0AE0">
      <w:pPr>
        <w:spacing w:line="240" w:lineRule="auto"/>
        <w:jc w:val="both"/>
        <w:rPr>
          <w:rFonts w:ascii="gobCL" w:hAnsi="gobCL"/>
          <w:b/>
          <w:color w:val="2F5496" w:themeColor="accent1" w:themeShade="BF"/>
        </w:rPr>
      </w:pPr>
      <w:r w:rsidRPr="007B0AE0">
        <w:rPr>
          <w:rFonts w:ascii="gobCL" w:hAnsi="gobCL"/>
          <w:b/>
          <w:color w:val="2F5496" w:themeColor="accent1" w:themeShade="BF"/>
        </w:rPr>
        <w:t xml:space="preserve">Debe presentar sobres separados, toda vez que son subastas distintas. </w:t>
      </w:r>
      <w:bookmarkStart w:id="0" w:name="_GoBack"/>
      <w:bookmarkEnd w:id="0"/>
      <w:r w:rsidR="00E961FD">
        <w:rPr>
          <w:rFonts w:ascii="gobCL" w:hAnsi="gobCL"/>
          <w:b/>
          <w:color w:val="2F5496" w:themeColor="accent1" w:themeShade="BF"/>
        </w:rPr>
        <w:t xml:space="preserve">Ejemplo: </w:t>
      </w:r>
      <w:r w:rsidRPr="007B0AE0">
        <w:rPr>
          <w:rFonts w:ascii="gobCL" w:hAnsi="gobCL"/>
          <w:b/>
          <w:color w:val="2F5496" w:themeColor="accent1" w:themeShade="BF"/>
        </w:rPr>
        <w:t>Un set de sobres para reasignación artesanal</w:t>
      </w:r>
      <w:r w:rsidR="00E961FD" w:rsidRPr="00E961FD">
        <w:rPr>
          <w:rFonts w:ascii="gobCL" w:hAnsi="gobCL"/>
          <w:b/>
          <w:color w:val="2F5496" w:themeColor="accent1" w:themeShade="BF"/>
        </w:rPr>
        <w:t xml:space="preserve"> </w:t>
      </w:r>
      <w:r w:rsidR="00E961FD">
        <w:rPr>
          <w:rFonts w:ascii="gobCL" w:hAnsi="gobCL"/>
          <w:b/>
          <w:color w:val="2F5496" w:themeColor="accent1" w:themeShade="BF"/>
        </w:rPr>
        <w:t>bacalao</w:t>
      </w:r>
      <w:r w:rsidRPr="007B0AE0">
        <w:rPr>
          <w:rFonts w:ascii="gobCL" w:hAnsi="gobCL"/>
          <w:b/>
          <w:color w:val="2F5496" w:themeColor="accent1" w:themeShade="BF"/>
        </w:rPr>
        <w:t xml:space="preserve">, un set de sobres para reasignación todo oferente </w:t>
      </w:r>
      <w:r w:rsidR="00E961FD">
        <w:rPr>
          <w:rFonts w:ascii="gobCL" w:hAnsi="gobCL"/>
          <w:b/>
          <w:color w:val="2F5496" w:themeColor="accent1" w:themeShade="BF"/>
        </w:rPr>
        <w:t>bacalao</w:t>
      </w:r>
      <w:r w:rsidR="00E961FD" w:rsidRPr="007B0AE0">
        <w:rPr>
          <w:rFonts w:ascii="gobCL" w:hAnsi="gobCL"/>
          <w:b/>
          <w:color w:val="2F5496" w:themeColor="accent1" w:themeShade="BF"/>
        </w:rPr>
        <w:t xml:space="preserve"> </w:t>
      </w:r>
      <w:r w:rsidRPr="007B0AE0">
        <w:rPr>
          <w:rFonts w:ascii="gobCL" w:hAnsi="gobCL"/>
          <w:b/>
          <w:color w:val="2F5496" w:themeColor="accent1" w:themeShade="BF"/>
        </w:rPr>
        <w:t>y un set de sobres para subasta ordinaria</w:t>
      </w:r>
      <w:r w:rsidR="00E961FD">
        <w:rPr>
          <w:rFonts w:ascii="gobCL" w:hAnsi="gobCL"/>
          <w:b/>
          <w:color w:val="2F5496" w:themeColor="accent1" w:themeShade="BF"/>
        </w:rPr>
        <w:t xml:space="preserve"> bacalao</w:t>
      </w:r>
      <w:r w:rsidRPr="007B0AE0">
        <w:rPr>
          <w:rFonts w:ascii="gobCL" w:hAnsi="gobCL"/>
          <w:b/>
          <w:color w:val="2F5496" w:themeColor="accent1" w:themeShade="BF"/>
        </w:rPr>
        <w:t>.</w:t>
      </w:r>
    </w:p>
    <w:p w:rsidR="00152B21" w:rsidRPr="00622A28" w:rsidRDefault="00152B21">
      <w:pPr>
        <w:rPr>
          <w:rFonts w:ascii="gobCL" w:hAnsi="gobCL"/>
        </w:rPr>
      </w:pPr>
    </w:p>
    <w:sectPr w:rsidR="00152B21" w:rsidRPr="00622A28" w:rsidSect="00BA37C5">
      <w:footerReference w:type="default" r:id="rId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930" w:rsidRDefault="00763930" w:rsidP="00D20F14">
      <w:pPr>
        <w:spacing w:after="0" w:line="240" w:lineRule="auto"/>
      </w:pPr>
      <w:r>
        <w:separator/>
      </w:r>
    </w:p>
  </w:endnote>
  <w:endnote w:type="continuationSeparator" w:id="0">
    <w:p w:rsidR="00763930" w:rsidRDefault="00763930" w:rsidP="00D2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bCL">
    <w:panose1 w:val="00000000000000000000"/>
    <w:charset w:val="00"/>
    <w:family w:val="modern"/>
    <w:notTrueType/>
    <w:pitch w:val="variable"/>
    <w:sig w:usb0="8000002F" w:usb1="4000005B"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F14" w:rsidRPr="00D20F14" w:rsidRDefault="00D20F14">
    <w:pPr>
      <w:tabs>
        <w:tab w:val="center" w:pos="4550"/>
        <w:tab w:val="left" w:pos="5818"/>
      </w:tabs>
      <w:ind w:right="260"/>
      <w:jc w:val="right"/>
      <w:rPr>
        <w:rFonts w:ascii="gobCL" w:hAnsi="gobCL"/>
        <w:sz w:val="20"/>
        <w:szCs w:val="20"/>
      </w:rPr>
    </w:pPr>
    <w:r w:rsidRPr="00D20F14">
      <w:rPr>
        <w:rFonts w:ascii="gobCL" w:hAnsi="gobCL"/>
        <w:spacing w:val="60"/>
        <w:sz w:val="20"/>
        <w:szCs w:val="20"/>
        <w:lang w:val="es-ES"/>
      </w:rPr>
      <w:t>Página</w:t>
    </w:r>
    <w:r w:rsidRPr="00D20F14">
      <w:rPr>
        <w:rFonts w:ascii="gobCL" w:hAnsi="gobCL"/>
        <w:sz w:val="20"/>
        <w:szCs w:val="20"/>
        <w:lang w:val="es-ES"/>
      </w:rPr>
      <w:t xml:space="preserve"> </w:t>
    </w:r>
    <w:r w:rsidRPr="00D20F14">
      <w:rPr>
        <w:rFonts w:ascii="gobCL" w:hAnsi="gobCL"/>
        <w:sz w:val="20"/>
        <w:szCs w:val="20"/>
      </w:rPr>
      <w:fldChar w:fldCharType="begin"/>
    </w:r>
    <w:r w:rsidRPr="00D20F14">
      <w:rPr>
        <w:rFonts w:ascii="gobCL" w:hAnsi="gobCL"/>
        <w:sz w:val="20"/>
        <w:szCs w:val="20"/>
      </w:rPr>
      <w:instrText>PAGE   \* MERGEFORMAT</w:instrText>
    </w:r>
    <w:r w:rsidRPr="00D20F14">
      <w:rPr>
        <w:rFonts w:ascii="gobCL" w:hAnsi="gobCL"/>
        <w:sz w:val="20"/>
        <w:szCs w:val="20"/>
      </w:rPr>
      <w:fldChar w:fldCharType="separate"/>
    </w:r>
    <w:r w:rsidRPr="00D20F14">
      <w:rPr>
        <w:rFonts w:ascii="gobCL" w:hAnsi="gobCL"/>
        <w:sz w:val="20"/>
        <w:szCs w:val="20"/>
        <w:lang w:val="es-ES"/>
      </w:rPr>
      <w:t>1</w:t>
    </w:r>
    <w:r w:rsidRPr="00D20F14">
      <w:rPr>
        <w:rFonts w:ascii="gobCL" w:hAnsi="gobCL"/>
        <w:sz w:val="20"/>
        <w:szCs w:val="20"/>
      </w:rPr>
      <w:fldChar w:fldCharType="end"/>
    </w:r>
    <w:r w:rsidRPr="00D20F14">
      <w:rPr>
        <w:rFonts w:ascii="gobCL" w:hAnsi="gobCL"/>
        <w:sz w:val="20"/>
        <w:szCs w:val="20"/>
        <w:lang w:val="es-ES"/>
      </w:rPr>
      <w:t xml:space="preserve"> | </w:t>
    </w:r>
    <w:r w:rsidRPr="00D20F14">
      <w:rPr>
        <w:rFonts w:ascii="gobCL" w:hAnsi="gobCL"/>
        <w:sz w:val="20"/>
        <w:szCs w:val="20"/>
      </w:rPr>
      <w:fldChar w:fldCharType="begin"/>
    </w:r>
    <w:r w:rsidRPr="00D20F14">
      <w:rPr>
        <w:rFonts w:ascii="gobCL" w:hAnsi="gobCL"/>
        <w:sz w:val="20"/>
        <w:szCs w:val="20"/>
      </w:rPr>
      <w:instrText>NUMPAGES  \* Arabic  \* MERGEFORMAT</w:instrText>
    </w:r>
    <w:r w:rsidRPr="00D20F14">
      <w:rPr>
        <w:rFonts w:ascii="gobCL" w:hAnsi="gobCL"/>
        <w:sz w:val="20"/>
        <w:szCs w:val="20"/>
      </w:rPr>
      <w:fldChar w:fldCharType="separate"/>
    </w:r>
    <w:r w:rsidRPr="00D20F14">
      <w:rPr>
        <w:rFonts w:ascii="gobCL" w:hAnsi="gobCL"/>
        <w:sz w:val="20"/>
        <w:szCs w:val="20"/>
        <w:lang w:val="es-ES"/>
      </w:rPr>
      <w:t>1</w:t>
    </w:r>
    <w:r w:rsidRPr="00D20F14">
      <w:rPr>
        <w:rFonts w:ascii="gobCL" w:hAnsi="gobCL"/>
        <w:sz w:val="20"/>
        <w:szCs w:val="20"/>
      </w:rPr>
      <w:fldChar w:fldCharType="end"/>
    </w:r>
  </w:p>
  <w:p w:rsidR="00D20F14" w:rsidRDefault="00D20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930" w:rsidRDefault="00763930" w:rsidP="00D20F14">
      <w:pPr>
        <w:spacing w:after="0" w:line="240" w:lineRule="auto"/>
      </w:pPr>
      <w:r>
        <w:separator/>
      </w:r>
    </w:p>
  </w:footnote>
  <w:footnote w:type="continuationSeparator" w:id="0">
    <w:p w:rsidR="00763930" w:rsidRDefault="00763930" w:rsidP="00D20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276CA"/>
    <w:multiLevelType w:val="hybridMultilevel"/>
    <w:tmpl w:val="BAEED7B2"/>
    <w:lvl w:ilvl="0" w:tplc="667C447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E910A62"/>
    <w:multiLevelType w:val="hybridMultilevel"/>
    <w:tmpl w:val="C960250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DEB2A0A"/>
    <w:multiLevelType w:val="hybridMultilevel"/>
    <w:tmpl w:val="227C42E4"/>
    <w:lvl w:ilvl="0" w:tplc="3836FB02">
      <w:start w:val="1"/>
      <w:numFmt w:val="lowerLetter"/>
      <w:lvlText w:val="%1)"/>
      <w:lvlJc w:val="left"/>
      <w:pPr>
        <w:ind w:left="1920" w:hanging="36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3" w15:restartNumberingAfterBreak="0">
    <w:nsid w:val="71AA4B94"/>
    <w:multiLevelType w:val="hybridMultilevel"/>
    <w:tmpl w:val="EB50F28A"/>
    <w:lvl w:ilvl="0" w:tplc="7EBC8AE6">
      <w:start w:val="1"/>
      <w:numFmt w:val="decimal"/>
      <w:lvlText w:val="%1."/>
      <w:lvlJc w:val="left"/>
      <w:pPr>
        <w:ind w:left="1080" w:hanging="360"/>
      </w:pPr>
      <w:rPr>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21"/>
    <w:rsid w:val="00054426"/>
    <w:rsid w:val="00127711"/>
    <w:rsid w:val="00152B21"/>
    <w:rsid w:val="002028AA"/>
    <w:rsid w:val="0043309F"/>
    <w:rsid w:val="00622A28"/>
    <w:rsid w:val="00650AD5"/>
    <w:rsid w:val="00763930"/>
    <w:rsid w:val="007B0AE0"/>
    <w:rsid w:val="008C65A4"/>
    <w:rsid w:val="0097691E"/>
    <w:rsid w:val="009C2A45"/>
    <w:rsid w:val="00BA37C5"/>
    <w:rsid w:val="00D039CF"/>
    <w:rsid w:val="00D20F14"/>
    <w:rsid w:val="00E961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DA96"/>
  <w15:chartTrackingRefBased/>
  <w15:docId w15:val="{98A8BF33-484B-4523-A7FA-E02526D7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B2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28AA"/>
    <w:pPr>
      <w:spacing w:after="0" w:line="240" w:lineRule="auto"/>
      <w:ind w:left="720"/>
    </w:pPr>
    <w:rPr>
      <w:rFonts w:ascii="Calibri" w:hAnsi="Calibri" w:cs="Times New Roman"/>
      <w:lang w:eastAsia="es-CL"/>
    </w:rPr>
  </w:style>
  <w:style w:type="character" w:styleId="Hipervnculo">
    <w:name w:val="Hyperlink"/>
    <w:basedOn w:val="Fuentedeprrafopredeter"/>
    <w:uiPriority w:val="99"/>
    <w:semiHidden/>
    <w:unhideWhenUsed/>
    <w:rsid w:val="002028AA"/>
    <w:rPr>
      <w:color w:val="0000FF"/>
      <w:u w:val="single"/>
    </w:rPr>
  </w:style>
  <w:style w:type="paragraph" w:styleId="Encabezado">
    <w:name w:val="header"/>
    <w:basedOn w:val="Normal"/>
    <w:link w:val="EncabezadoCar"/>
    <w:uiPriority w:val="99"/>
    <w:unhideWhenUsed/>
    <w:rsid w:val="00D20F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F14"/>
  </w:style>
  <w:style w:type="paragraph" w:styleId="Piedepgina">
    <w:name w:val="footer"/>
    <w:basedOn w:val="Normal"/>
    <w:link w:val="PiedepginaCar"/>
    <w:uiPriority w:val="99"/>
    <w:unhideWhenUsed/>
    <w:rsid w:val="00D20F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17711">
      <w:bodyDiv w:val="1"/>
      <w:marLeft w:val="0"/>
      <w:marRight w:val="0"/>
      <w:marTop w:val="0"/>
      <w:marBottom w:val="0"/>
      <w:divBdr>
        <w:top w:val="none" w:sz="0" w:space="0" w:color="auto"/>
        <w:left w:val="none" w:sz="0" w:space="0" w:color="auto"/>
        <w:bottom w:val="none" w:sz="0" w:space="0" w:color="auto"/>
        <w:right w:val="none" w:sz="0" w:space="0" w:color="auto"/>
      </w:divBdr>
    </w:div>
    <w:div w:id="1137263819">
      <w:bodyDiv w:val="1"/>
      <w:marLeft w:val="0"/>
      <w:marRight w:val="0"/>
      <w:marTop w:val="0"/>
      <w:marBottom w:val="0"/>
      <w:divBdr>
        <w:top w:val="none" w:sz="0" w:space="0" w:color="auto"/>
        <w:left w:val="none" w:sz="0" w:space="0" w:color="auto"/>
        <w:bottom w:val="none" w:sz="0" w:space="0" w:color="auto"/>
        <w:right w:val="none" w:sz="0" w:space="0" w:color="auto"/>
      </w:divBdr>
    </w:div>
    <w:div w:id="1593390303">
      <w:bodyDiv w:val="1"/>
      <w:marLeft w:val="0"/>
      <w:marRight w:val="0"/>
      <w:marTop w:val="0"/>
      <w:marBottom w:val="0"/>
      <w:divBdr>
        <w:top w:val="none" w:sz="0" w:space="0" w:color="auto"/>
        <w:left w:val="none" w:sz="0" w:space="0" w:color="auto"/>
        <w:bottom w:val="none" w:sz="0" w:space="0" w:color="auto"/>
        <w:right w:val="none" w:sz="0" w:space="0" w:color="auto"/>
      </w:divBdr>
    </w:div>
    <w:div w:id="15999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astapublica@subpesca.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3EED7-C847-4E46-B5D6-EDA77130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479</Words>
  <Characters>2638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Ortiz</dc:creator>
  <cp:keywords/>
  <dc:description/>
  <cp:lastModifiedBy>Francisco Ortiz</cp:lastModifiedBy>
  <cp:revision>12</cp:revision>
  <cp:lastPrinted>2022-11-28T18:46:00Z</cp:lastPrinted>
  <dcterms:created xsi:type="dcterms:W3CDTF">2022-11-28T13:53:00Z</dcterms:created>
  <dcterms:modified xsi:type="dcterms:W3CDTF">2022-11-28T18:50:00Z</dcterms:modified>
</cp:coreProperties>
</file>