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FBA" w:rsidRPr="003558E5" w:rsidRDefault="00585FBA" w:rsidP="00585FBA">
      <w:pPr>
        <w:ind w:left="720"/>
        <w:jc w:val="both"/>
        <w:rPr>
          <w:rFonts w:ascii="gobCL" w:hAnsi="gobCL" w:cs="Times New Roman"/>
          <w:b/>
          <w:u w:val="single"/>
        </w:rPr>
      </w:pPr>
      <w:r w:rsidRPr="003558E5">
        <w:rPr>
          <w:rFonts w:ascii="gobCL" w:hAnsi="gobCL" w:cs="Times New Roman"/>
          <w:b/>
          <w:u w:val="single"/>
        </w:rPr>
        <w:t>ACLARACIONES A BASES ADMINISTRATIVAS SUBASTA PERMISOS EXTRAORDINARIOS DE PESCA</w:t>
      </w:r>
    </w:p>
    <w:p w:rsidR="00585FBA" w:rsidRPr="003558E5" w:rsidRDefault="00585FBA" w:rsidP="00585FBA">
      <w:pPr>
        <w:ind w:left="720"/>
        <w:jc w:val="both"/>
        <w:rPr>
          <w:rFonts w:ascii="gobCL" w:hAnsi="gobCL" w:cs="Times New Roman"/>
          <w:b/>
        </w:rPr>
      </w:pPr>
    </w:p>
    <w:p w:rsidR="00585FBA" w:rsidRPr="003558E5" w:rsidRDefault="00585FBA" w:rsidP="00585FBA">
      <w:pPr>
        <w:spacing w:after="200" w:line="276" w:lineRule="auto"/>
        <w:jc w:val="both"/>
        <w:rPr>
          <w:rFonts w:ascii="gobCL" w:hAnsi="gobCL" w:cstheme="minorBidi"/>
          <w:lang w:eastAsia="en-US"/>
        </w:rPr>
      </w:pPr>
      <w:r w:rsidRPr="003558E5">
        <w:rPr>
          <w:rFonts w:ascii="gobCL" w:hAnsi="gobCL" w:cstheme="minorBidi"/>
          <w:b/>
        </w:rPr>
        <w:t xml:space="preserve">Aclaraciones a las bases dirigidas al correo electrónico </w:t>
      </w:r>
      <w:hyperlink r:id="rId7" w:history="1">
        <w:r w:rsidRPr="003558E5">
          <w:rPr>
            <w:rStyle w:val="Hipervnculo"/>
            <w:rFonts w:ascii="gobCL" w:hAnsi="gobCL" w:cstheme="minorBidi"/>
            <w:b/>
          </w:rPr>
          <w:t>subastapublica@subpesca.cl</w:t>
        </w:r>
      </w:hyperlink>
      <w:r w:rsidRPr="003558E5">
        <w:rPr>
          <w:rFonts w:ascii="gobCL" w:hAnsi="gobCL" w:cstheme="minorBidi"/>
          <w:b/>
        </w:rPr>
        <w:t xml:space="preserve"> a la fecha de </w:t>
      </w:r>
      <w:r w:rsidRPr="003558E5">
        <w:rPr>
          <w:rFonts w:ascii="gobCL" w:hAnsi="gobCL" w:cstheme="minorBidi"/>
          <w:b/>
        </w:rPr>
        <w:t>01</w:t>
      </w:r>
      <w:r w:rsidRPr="003558E5">
        <w:rPr>
          <w:rFonts w:ascii="gobCL" w:hAnsi="gobCL" w:cstheme="minorBidi"/>
          <w:b/>
        </w:rPr>
        <w:t xml:space="preserve"> </w:t>
      </w:r>
      <w:r w:rsidRPr="003558E5">
        <w:rPr>
          <w:rFonts w:ascii="gobCL" w:hAnsi="gobCL" w:cstheme="minorBidi"/>
          <w:b/>
        </w:rPr>
        <w:t>diciembre</w:t>
      </w:r>
      <w:r w:rsidRPr="003558E5">
        <w:rPr>
          <w:rFonts w:ascii="gobCL" w:hAnsi="gobCL" w:cstheme="minorBidi"/>
          <w:b/>
        </w:rPr>
        <w:t xml:space="preserve"> de 2022, según el orden de llegada y dentro del plazo de 3 días hábiles.</w:t>
      </w:r>
    </w:p>
    <w:p w:rsidR="00585FBA" w:rsidRPr="003558E5" w:rsidRDefault="00585FBA" w:rsidP="00585FBA">
      <w:pPr>
        <w:spacing w:before="100" w:beforeAutospacing="1" w:after="100" w:afterAutospacing="1"/>
        <w:rPr>
          <w:rFonts w:ascii="gobCL" w:hAnsi="gobCL"/>
        </w:rPr>
      </w:pPr>
      <w:r w:rsidRPr="003558E5">
        <w:rPr>
          <w:rFonts w:ascii="gobCL" w:hAnsi="gobCL"/>
        </w:rPr>
        <w:t xml:space="preserve">9.- </w:t>
      </w:r>
      <w:r w:rsidRPr="003558E5">
        <w:rPr>
          <w:rFonts w:ascii="gobCL" w:hAnsi="gobCL"/>
        </w:rPr>
        <w:t xml:space="preserve">Como se indica en el punto </w:t>
      </w:r>
      <w:proofErr w:type="spellStart"/>
      <w:r w:rsidRPr="003558E5">
        <w:rPr>
          <w:rFonts w:ascii="gobCL" w:hAnsi="gobCL"/>
        </w:rPr>
        <w:t>N°</w:t>
      </w:r>
      <w:proofErr w:type="spellEnd"/>
      <w:r w:rsidRPr="003558E5">
        <w:rPr>
          <w:rFonts w:ascii="gobCL" w:hAnsi="gobCL"/>
        </w:rPr>
        <w:t xml:space="preserve"> 9 "Montos Garantías" y considerando la restricción del punto </w:t>
      </w:r>
      <w:proofErr w:type="spellStart"/>
      <w:r w:rsidRPr="003558E5">
        <w:rPr>
          <w:rFonts w:ascii="gobCL" w:hAnsi="gobCL"/>
        </w:rPr>
        <w:t>N°</w:t>
      </w:r>
      <w:proofErr w:type="spellEnd"/>
      <w:r w:rsidRPr="003558E5">
        <w:rPr>
          <w:rFonts w:ascii="gobCL" w:hAnsi="gobCL"/>
        </w:rPr>
        <w:t xml:space="preserve"> 12 "Criterio de adjudicación" donde </w:t>
      </w:r>
      <w:r w:rsidRPr="003558E5">
        <w:rPr>
          <w:rFonts w:ascii="gobCL" w:hAnsi="gobCL"/>
          <w:b/>
          <w:bCs/>
          <w:i/>
          <w:iCs/>
        </w:rPr>
        <w:t>ninguna persona podrá</w:t>
      </w:r>
      <w:r w:rsidRPr="003558E5">
        <w:rPr>
          <w:b/>
          <w:bCs/>
          <w:i/>
          <w:iCs/>
        </w:rPr>
        <w:t> </w:t>
      </w:r>
      <w:r w:rsidRPr="003558E5">
        <w:rPr>
          <w:rFonts w:ascii="gobCL" w:hAnsi="gobCL"/>
          <w:b/>
          <w:bCs/>
          <w:i/>
          <w:iCs/>
        </w:rPr>
        <w:t>adjudicarse un porcentaje superior al 50% del total a subastar:</w:t>
      </w:r>
    </w:p>
    <w:p w:rsidR="00585FBA" w:rsidRPr="003558E5" w:rsidRDefault="00BE780F" w:rsidP="00620644">
      <w:pPr>
        <w:spacing w:before="100" w:beforeAutospacing="1" w:after="100" w:afterAutospacing="1"/>
        <w:rPr>
          <w:rFonts w:ascii="gobCL" w:hAnsi="gobCL"/>
        </w:rPr>
      </w:pPr>
      <w:r w:rsidRPr="003558E5">
        <w:rPr>
          <w:rFonts w:ascii="gobCL" w:hAnsi="gobCL"/>
        </w:rPr>
        <w:t xml:space="preserve">a) </w:t>
      </w:r>
      <w:r w:rsidR="00585FBA" w:rsidRPr="003558E5">
        <w:rPr>
          <w:rFonts w:ascii="gobCL" w:hAnsi="gobCL"/>
        </w:rPr>
        <w:t xml:space="preserve">Por lo </w:t>
      </w:r>
      <w:r w:rsidR="00620644" w:rsidRPr="003558E5">
        <w:rPr>
          <w:rFonts w:ascii="gobCL" w:hAnsi="gobCL"/>
        </w:rPr>
        <w:t>tanto,</w:t>
      </w:r>
      <w:r w:rsidR="00585FBA" w:rsidRPr="003558E5">
        <w:rPr>
          <w:rFonts w:ascii="gobCL" w:hAnsi="gobCL"/>
        </w:rPr>
        <w:t xml:space="preserve"> para el langostino colorado y langostino amarillo, el máximo monto a enviar de una persona por garantía debe ser de un 5% en cada subasta (dado que una persona no se puede adjudicar </w:t>
      </w:r>
      <w:r w:rsidR="00620644" w:rsidRPr="003558E5">
        <w:rPr>
          <w:rFonts w:ascii="gobCL" w:hAnsi="gobCL"/>
        </w:rPr>
        <w:t>más</w:t>
      </w:r>
      <w:r w:rsidR="00585FBA" w:rsidRPr="003558E5">
        <w:rPr>
          <w:rFonts w:ascii="gobCL" w:hAnsi="gobCL"/>
        </w:rPr>
        <w:t xml:space="preserve"> del 50% del total de la subasta, que es un 10% en cada pesquería).</w:t>
      </w:r>
    </w:p>
    <w:p w:rsidR="00585FBA" w:rsidRPr="003558E5" w:rsidRDefault="00585FBA" w:rsidP="00620644">
      <w:pPr>
        <w:spacing w:before="100" w:beforeAutospacing="1" w:after="100" w:afterAutospacing="1"/>
        <w:rPr>
          <w:rFonts w:ascii="gobCL" w:hAnsi="gobCL"/>
        </w:rPr>
      </w:pPr>
      <w:r w:rsidRPr="003558E5">
        <w:rPr>
          <w:rFonts w:ascii="gobCL" w:hAnsi="gobCL"/>
        </w:rPr>
        <w:t xml:space="preserve">Considerando el 5% para cada subasta, entonces el monto de garantía máximo para </w:t>
      </w:r>
      <w:r w:rsidR="00DC1E2E" w:rsidRPr="003558E5">
        <w:rPr>
          <w:rFonts w:ascii="gobCL" w:hAnsi="gobCL"/>
        </w:rPr>
        <w:t>una persona</w:t>
      </w:r>
      <w:r w:rsidRPr="003558E5">
        <w:rPr>
          <w:rFonts w:ascii="gobCL" w:hAnsi="gobCL"/>
        </w:rPr>
        <w:t xml:space="preserve"> debería ser </w:t>
      </w:r>
      <w:r w:rsidRPr="003558E5">
        <w:rPr>
          <w:rFonts w:ascii="gobCL" w:hAnsi="gobCL"/>
          <w:b/>
          <w:bCs/>
        </w:rPr>
        <w:t xml:space="preserve">92,12 </w:t>
      </w:r>
      <w:proofErr w:type="spellStart"/>
      <w:r w:rsidRPr="003558E5">
        <w:rPr>
          <w:rFonts w:ascii="gobCL" w:hAnsi="gobCL"/>
          <w:b/>
          <w:bCs/>
        </w:rPr>
        <w:t>UTM</w:t>
      </w:r>
      <w:proofErr w:type="spellEnd"/>
      <w:r w:rsidRPr="003558E5">
        <w:rPr>
          <w:rFonts w:ascii="gobCL" w:hAnsi="gobCL"/>
          <w:b/>
          <w:bCs/>
        </w:rPr>
        <w:t xml:space="preserve"> </w:t>
      </w:r>
      <w:r w:rsidRPr="003558E5">
        <w:rPr>
          <w:rFonts w:ascii="gobCL" w:hAnsi="gobCL"/>
        </w:rPr>
        <w:t xml:space="preserve">para el langostino colorado (%5 x 8.188 x 22,5 x 0,01) y </w:t>
      </w:r>
      <w:r w:rsidRPr="003558E5">
        <w:rPr>
          <w:rFonts w:ascii="gobCL" w:hAnsi="gobCL"/>
          <w:b/>
          <w:bCs/>
        </w:rPr>
        <w:t xml:space="preserve">29,36 </w:t>
      </w:r>
      <w:proofErr w:type="spellStart"/>
      <w:r w:rsidRPr="003558E5">
        <w:rPr>
          <w:rFonts w:ascii="gobCL" w:hAnsi="gobCL"/>
          <w:b/>
          <w:bCs/>
        </w:rPr>
        <w:t>UTM</w:t>
      </w:r>
      <w:proofErr w:type="spellEnd"/>
      <w:r w:rsidRPr="003558E5">
        <w:rPr>
          <w:rFonts w:ascii="gobCL" w:hAnsi="gobCL"/>
        </w:rPr>
        <w:t xml:space="preserve"> para el langostino </w:t>
      </w:r>
      <w:r w:rsidR="00620644" w:rsidRPr="003558E5">
        <w:rPr>
          <w:rFonts w:ascii="gobCL" w:hAnsi="gobCL"/>
        </w:rPr>
        <w:t>amarillo</w:t>
      </w:r>
      <w:r w:rsidR="00620644" w:rsidRPr="003558E5">
        <w:t> </w:t>
      </w:r>
      <w:r w:rsidR="00620644" w:rsidRPr="003558E5">
        <w:rPr>
          <w:rFonts w:ascii="gobCL" w:hAnsi="gobCL"/>
        </w:rPr>
        <w:t>(</w:t>
      </w:r>
      <w:r w:rsidRPr="003558E5">
        <w:rPr>
          <w:rFonts w:ascii="gobCL" w:hAnsi="gobCL"/>
        </w:rPr>
        <w:t>%5 x 2.610 x 22,5 x 0,01).</w:t>
      </w:r>
    </w:p>
    <w:p w:rsidR="00585FBA" w:rsidRPr="003558E5" w:rsidRDefault="00585FBA" w:rsidP="00620644">
      <w:pPr>
        <w:spacing w:before="100" w:beforeAutospacing="1" w:after="100" w:afterAutospacing="1"/>
        <w:rPr>
          <w:rFonts w:ascii="gobCL" w:hAnsi="gobCL"/>
        </w:rPr>
      </w:pPr>
      <w:r w:rsidRPr="003558E5">
        <w:rPr>
          <w:rFonts w:ascii="gobCL" w:hAnsi="gobCL"/>
        </w:rPr>
        <w:t xml:space="preserve">Por lo tanto, los 92,12 </w:t>
      </w:r>
      <w:proofErr w:type="spellStart"/>
      <w:r w:rsidRPr="003558E5">
        <w:rPr>
          <w:rFonts w:ascii="gobCL" w:hAnsi="gobCL"/>
        </w:rPr>
        <w:t>UTM</w:t>
      </w:r>
      <w:proofErr w:type="spellEnd"/>
      <w:r w:rsidRPr="003558E5">
        <w:rPr>
          <w:rFonts w:ascii="gobCL" w:hAnsi="gobCL"/>
        </w:rPr>
        <w:t xml:space="preserve"> y 29,36 </w:t>
      </w:r>
      <w:proofErr w:type="spellStart"/>
      <w:r w:rsidRPr="003558E5">
        <w:rPr>
          <w:rFonts w:ascii="gobCL" w:hAnsi="gobCL"/>
        </w:rPr>
        <w:t>UTM</w:t>
      </w:r>
      <w:proofErr w:type="spellEnd"/>
      <w:r w:rsidRPr="003558E5">
        <w:rPr>
          <w:rFonts w:ascii="gobCL" w:hAnsi="gobCL"/>
        </w:rPr>
        <w:t xml:space="preserve"> cubren el total de años a licitar para el langostino colorado y amarillo respectivamente.</w:t>
      </w:r>
    </w:p>
    <w:p w:rsidR="00585FBA" w:rsidRPr="003558E5" w:rsidRDefault="00585FBA" w:rsidP="00620644">
      <w:pPr>
        <w:spacing w:before="100" w:beforeAutospacing="1" w:after="100" w:afterAutospacing="1"/>
        <w:rPr>
          <w:rFonts w:ascii="gobCL" w:hAnsi="gobCL"/>
        </w:rPr>
      </w:pPr>
      <w:r w:rsidRPr="003558E5">
        <w:rPr>
          <w:rFonts w:ascii="gobCL" w:hAnsi="gobCL"/>
        </w:rPr>
        <w:t>Favor confirmar si en caso contrario, es necesario mandar el total de la subasta (10%) como monto máximo de garantía por persona.</w:t>
      </w:r>
    </w:p>
    <w:p w:rsidR="00585FBA" w:rsidRPr="003558E5" w:rsidRDefault="00585FBA" w:rsidP="00585FBA">
      <w:pPr>
        <w:rPr>
          <w:rFonts w:ascii="gobCL" w:hAnsi="gobCL"/>
        </w:rPr>
      </w:pPr>
      <w:r w:rsidRPr="003558E5">
        <w:rPr>
          <w:rFonts w:ascii="gobCL" w:hAnsi="gobCL"/>
          <w:b/>
          <w:bCs/>
          <w:u w:val="single"/>
        </w:rPr>
        <w:t>Formula Minuta subastas:</w:t>
      </w:r>
      <w:r w:rsidRPr="003558E5">
        <w:rPr>
          <w:rFonts w:ascii="gobCL" w:hAnsi="gobCL"/>
          <w:noProof/>
        </w:rPr>
        <w:drawing>
          <wp:inline distT="0" distB="0" distL="0" distR="0">
            <wp:extent cx="4924425" cy="1905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8E5">
        <w:rPr>
          <w:rFonts w:ascii="gobCL" w:hAnsi="gobCL"/>
        </w:rPr>
        <w:t>*coeficiente fijo: 0,01</w:t>
      </w:r>
    </w:p>
    <w:p w:rsidR="00585FBA" w:rsidRPr="003558E5" w:rsidRDefault="00585FBA" w:rsidP="00585FBA">
      <w:pPr>
        <w:rPr>
          <w:rFonts w:ascii="gobCL" w:hAnsi="gobCL"/>
        </w:rPr>
      </w:pPr>
    </w:p>
    <w:p w:rsidR="00585FBA" w:rsidRPr="003558E5" w:rsidRDefault="00BE780F" w:rsidP="00620644">
      <w:pPr>
        <w:spacing w:before="100" w:beforeAutospacing="1" w:after="100" w:afterAutospacing="1"/>
        <w:rPr>
          <w:rFonts w:ascii="gobCL" w:hAnsi="gobCL"/>
        </w:rPr>
      </w:pPr>
      <w:r w:rsidRPr="003558E5">
        <w:rPr>
          <w:rFonts w:ascii="gobCL" w:hAnsi="gobCL"/>
        </w:rPr>
        <w:t xml:space="preserve">b) </w:t>
      </w:r>
      <w:r w:rsidR="00585FBA" w:rsidRPr="003558E5">
        <w:rPr>
          <w:rFonts w:ascii="gobCL" w:hAnsi="gobCL"/>
        </w:rPr>
        <w:t xml:space="preserve"> </w:t>
      </w:r>
      <w:r w:rsidR="00585FBA" w:rsidRPr="003558E5">
        <w:rPr>
          <w:rFonts w:ascii="gobCL" w:hAnsi="gobCL"/>
        </w:rPr>
        <w:t xml:space="preserve">Como se indica en el punto </w:t>
      </w:r>
      <w:proofErr w:type="spellStart"/>
      <w:r w:rsidR="00585FBA" w:rsidRPr="003558E5">
        <w:rPr>
          <w:rFonts w:ascii="gobCL" w:hAnsi="gobCL"/>
        </w:rPr>
        <w:t>N°</w:t>
      </w:r>
      <w:proofErr w:type="spellEnd"/>
      <w:r w:rsidR="00585FBA" w:rsidRPr="003558E5">
        <w:rPr>
          <w:rFonts w:ascii="gobCL" w:hAnsi="gobCL"/>
        </w:rPr>
        <w:t xml:space="preserve"> 12 "Criterio de adjudicación" donde</w:t>
      </w:r>
      <w:r w:rsidR="00585FBA" w:rsidRPr="003558E5">
        <w:t> </w:t>
      </w:r>
      <w:r w:rsidR="00585FBA" w:rsidRPr="003558E5">
        <w:rPr>
          <w:rFonts w:ascii="gobCL" w:hAnsi="gobCL"/>
          <w:b/>
          <w:bCs/>
          <w:i/>
          <w:iCs/>
        </w:rPr>
        <w:t>ninguna persona podrá</w:t>
      </w:r>
      <w:r w:rsidR="00585FBA" w:rsidRPr="003558E5">
        <w:rPr>
          <w:b/>
          <w:bCs/>
          <w:i/>
          <w:iCs/>
        </w:rPr>
        <w:t> </w:t>
      </w:r>
      <w:r w:rsidR="00585FBA" w:rsidRPr="003558E5">
        <w:rPr>
          <w:rFonts w:ascii="gobCL" w:hAnsi="gobCL"/>
          <w:b/>
          <w:bCs/>
          <w:i/>
          <w:iCs/>
        </w:rPr>
        <w:t>adjudicarse un porcentaje superior al 50% del total a subastar</w:t>
      </w:r>
      <w:r w:rsidR="00585FBA" w:rsidRPr="003558E5">
        <w:rPr>
          <w:rFonts w:ascii="gobCL" w:hAnsi="gobCL"/>
        </w:rPr>
        <w:t>:</w:t>
      </w:r>
    </w:p>
    <w:p w:rsidR="00585FBA" w:rsidRPr="003558E5" w:rsidRDefault="00585FBA" w:rsidP="00620644">
      <w:pPr>
        <w:spacing w:before="100" w:beforeAutospacing="1" w:after="100" w:afterAutospacing="1"/>
        <w:rPr>
          <w:rFonts w:ascii="gobCL" w:hAnsi="gobCL"/>
        </w:rPr>
      </w:pPr>
      <w:r w:rsidRPr="003558E5">
        <w:rPr>
          <w:rFonts w:ascii="gobCL" w:hAnsi="gobCL"/>
        </w:rPr>
        <w:t xml:space="preserve">Por </w:t>
      </w:r>
      <w:r w:rsidR="00620644" w:rsidRPr="003558E5">
        <w:rPr>
          <w:rFonts w:ascii="gobCL" w:hAnsi="gobCL"/>
        </w:rPr>
        <w:t>ejemplo,</w:t>
      </w:r>
      <w:r w:rsidRPr="003558E5">
        <w:rPr>
          <w:rFonts w:ascii="gobCL" w:hAnsi="gobCL"/>
        </w:rPr>
        <w:t xml:space="preserve"> en el caso del langostino amarillo (del cuadro adjunto), como una persona no puede adjudicarse más del 50% (equivalente al 5% del total de la subasta). En el caso que una persona ya se haya adjudicado el lote </w:t>
      </w:r>
      <w:proofErr w:type="spellStart"/>
      <w:r w:rsidRPr="003558E5">
        <w:rPr>
          <w:rFonts w:ascii="gobCL" w:hAnsi="gobCL"/>
        </w:rPr>
        <w:t>N°</w:t>
      </w:r>
      <w:proofErr w:type="spellEnd"/>
      <w:r w:rsidRPr="003558E5">
        <w:rPr>
          <w:rFonts w:ascii="gobCL" w:hAnsi="gobCL"/>
        </w:rPr>
        <w:t xml:space="preserve"> 1 y lote </w:t>
      </w:r>
      <w:proofErr w:type="spellStart"/>
      <w:r w:rsidRPr="003558E5">
        <w:rPr>
          <w:rFonts w:ascii="gobCL" w:hAnsi="gobCL"/>
        </w:rPr>
        <w:t>N°</w:t>
      </w:r>
      <w:proofErr w:type="spellEnd"/>
      <w:r w:rsidRPr="003558E5">
        <w:rPr>
          <w:rFonts w:ascii="gobCL" w:hAnsi="gobCL"/>
        </w:rPr>
        <w:t xml:space="preserve"> 2, consultar si dicha persona quedaría imposibilitada de disputar el lote </w:t>
      </w:r>
      <w:proofErr w:type="spellStart"/>
      <w:r w:rsidRPr="003558E5">
        <w:rPr>
          <w:rFonts w:ascii="gobCL" w:hAnsi="gobCL"/>
        </w:rPr>
        <w:t>N°</w:t>
      </w:r>
      <w:proofErr w:type="spellEnd"/>
      <w:r w:rsidRPr="003558E5">
        <w:rPr>
          <w:rFonts w:ascii="gobCL" w:hAnsi="gobCL"/>
        </w:rPr>
        <w:t xml:space="preserve"> 3.</w:t>
      </w:r>
    </w:p>
    <w:p w:rsidR="00585FBA" w:rsidRPr="003558E5" w:rsidRDefault="00585FBA" w:rsidP="00620644">
      <w:pPr>
        <w:spacing w:before="100" w:beforeAutospacing="1" w:after="100" w:afterAutospacing="1"/>
        <w:rPr>
          <w:rFonts w:ascii="gobCL" w:hAnsi="gobCL"/>
        </w:rPr>
      </w:pPr>
      <w:r w:rsidRPr="003558E5">
        <w:rPr>
          <w:rFonts w:ascii="gobCL" w:hAnsi="gobCL"/>
        </w:rPr>
        <w:t xml:space="preserve">Con respecto a lo anterior, si una persona quedara imposibilitada de disputar un lote en particular (como en el caso anterior desde el lote </w:t>
      </w:r>
      <w:proofErr w:type="spellStart"/>
      <w:r w:rsidRPr="003558E5">
        <w:rPr>
          <w:rFonts w:ascii="gobCL" w:hAnsi="gobCL"/>
        </w:rPr>
        <w:t>N°</w:t>
      </w:r>
      <w:proofErr w:type="spellEnd"/>
      <w:r w:rsidRPr="003558E5">
        <w:rPr>
          <w:rFonts w:ascii="gobCL" w:hAnsi="gobCL"/>
        </w:rPr>
        <w:t xml:space="preserve"> 3), esto implicaría que la persona queda inhabilitada para participar en los lotes siguientes (desde el lote N°4 al N°10), aunque le quede un 1% disponible para adjudicarse y le quede monto de garantía con respecto a ese 1%.</w:t>
      </w:r>
    </w:p>
    <w:p w:rsidR="00585FBA" w:rsidRPr="003558E5" w:rsidRDefault="00585FBA" w:rsidP="00DC1E2E">
      <w:pPr>
        <w:jc w:val="center"/>
        <w:rPr>
          <w:rFonts w:ascii="gobCL" w:hAnsi="gobCL"/>
        </w:rPr>
      </w:pPr>
      <w:r w:rsidRPr="003558E5">
        <w:rPr>
          <w:rFonts w:ascii="gobCL" w:hAnsi="gobCL"/>
          <w:noProof/>
        </w:rPr>
        <w:lastRenderedPageBreak/>
        <w:drawing>
          <wp:inline distT="0" distB="0" distL="0" distR="0">
            <wp:extent cx="2705100" cy="4924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FBA" w:rsidRPr="003558E5" w:rsidRDefault="00585FBA" w:rsidP="00585FBA">
      <w:pPr>
        <w:rPr>
          <w:rFonts w:ascii="gobCL" w:hAnsi="gobCL"/>
        </w:rPr>
      </w:pPr>
    </w:p>
    <w:p w:rsidR="00620644" w:rsidRPr="003558E5" w:rsidRDefault="00620644" w:rsidP="00620644">
      <w:pPr>
        <w:jc w:val="both"/>
        <w:rPr>
          <w:rFonts w:ascii="gobCL" w:hAnsi="gobCL"/>
          <w:b/>
          <w:bCs/>
          <w:color w:val="1F3864" w:themeColor="accent1" w:themeShade="80"/>
        </w:rPr>
      </w:pPr>
      <w:r w:rsidRPr="003558E5">
        <w:rPr>
          <w:rFonts w:ascii="gobCL" w:hAnsi="gobCL"/>
          <w:b/>
          <w:bCs/>
          <w:color w:val="1F3864" w:themeColor="accent1" w:themeShade="80"/>
          <w:shd w:val="clear" w:color="auto" w:fill="FFFFFF"/>
        </w:rPr>
        <w:t>El límite del 50% a adjudicar determina que la garantía máxima asegura ese 50%, si la garantía cubre el 100% se estaría sobre asegurando e incurriendo en mayores costos y no le asegura que pueda participar por todos los lotes pues lo relevante es que su (suma previa de lotes + el porcentaje adicional) no sea superior a ese 50%.</w:t>
      </w:r>
    </w:p>
    <w:p w:rsidR="00620644" w:rsidRPr="003558E5" w:rsidRDefault="00620644" w:rsidP="00620644">
      <w:pPr>
        <w:jc w:val="both"/>
        <w:rPr>
          <w:rFonts w:ascii="gobCL" w:hAnsi="gobCL"/>
          <w:b/>
          <w:bCs/>
          <w:color w:val="1F3864" w:themeColor="accent1" w:themeShade="80"/>
        </w:rPr>
      </w:pPr>
      <w:r w:rsidRPr="003558E5">
        <w:rPr>
          <w:rFonts w:ascii="gobCL" w:hAnsi="gobCL"/>
          <w:b/>
          <w:bCs/>
          <w:color w:val="1F3864" w:themeColor="accent1" w:themeShade="80"/>
          <w:shd w:val="clear" w:color="auto" w:fill="FFFFFF"/>
        </w:rPr>
        <w:t>Con asegurar con garantías ese 50% basta, por ejemplo:</w:t>
      </w:r>
    </w:p>
    <w:p w:rsidR="00620644" w:rsidRPr="003558E5" w:rsidRDefault="00620644" w:rsidP="00620644">
      <w:pPr>
        <w:rPr>
          <w:rFonts w:ascii="gobCL" w:hAnsi="gobCL"/>
          <w:b/>
          <w:bCs/>
          <w:color w:val="1F3864" w:themeColor="accent1" w:themeShade="80"/>
        </w:rPr>
      </w:pPr>
    </w:p>
    <w:p w:rsidR="00620644" w:rsidRPr="003558E5" w:rsidRDefault="00620644" w:rsidP="00620644">
      <w:pPr>
        <w:pStyle w:val="xmsonormal"/>
        <w:shd w:val="clear" w:color="auto" w:fill="FFFFFF"/>
        <w:rPr>
          <w:rFonts w:ascii="gobCL" w:hAnsi="gobCL"/>
          <w:b/>
          <w:bCs/>
          <w:color w:val="1F3864" w:themeColor="accent1" w:themeShade="80"/>
          <w:shd w:val="clear" w:color="auto" w:fill="FFFFFF"/>
        </w:rPr>
      </w:pP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 xml:space="preserve">Lote </w:t>
      </w:r>
      <w:proofErr w:type="spellStart"/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N°</w:t>
      </w:r>
      <w:proofErr w:type="spellEnd"/>
      <w:r w:rsidRPr="003558E5">
        <w:rPr>
          <w:rStyle w:val="contentpasted0"/>
          <w:b/>
          <w:bCs/>
          <w:color w:val="1F3864" w:themeColor="accent1" w:themeShade="80"/>
          <w:shd w:val="clear" w:color="auto" w:fill="FFFFFF"/>
        </w:rPr>
        <w:t> 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 xml:space="preserve"> </w:t>
      </w:r>
      <w:r w:rsidRPr="003558E5">
        <w:rPr>
          <w:rStyle w:val="contentpasted0"/>
          <w:b/>
          <w:bCs/>
          <w:color w:val="1F3864" w:themeColor="accent1" w:themeShade="80"/>
          <w:shd w:val="clear" w:color="auto" w:fill="FFFFFF"/>
        </w:rPr>
        <w:t> 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 xml:space="preserve"> </w:t>
      </w:r>
      <w:r w:rsidRPr="003558E5">
        <w:rPr>
          <w:rStyle w:val="contentpasted0"/>
          <w:b/>
          <w:bCs/>
          <w:color w:val="1F3864" w:themeColor="accent1" w:themeShade="80"/>
          <w:shd w:val="clear" w:color="auto" w:fill="FFFFFF"/>
        </w:rPr>
        <w:t> 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 xml:space="preserve"> </w:t>
      </w:r>
      <w:r w:rsidRPr="003558E5">
        <w:rPr>
          <w:rStyle w:val="contentpasted0"/>
          <w:b/>
          <w:bCs/>
          <w:color w:val="1F3864" w:themeColor="accent1" w:themeShade="80"/>
          <w:shd w:val="clear" w:color="auto" w:fill="FFFFFF"/>
        </w:rPr>
        <w:t> 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%</w:t>
      </w:r>
    </w:p>
    <w:p w:rsidR="00620644" w:rsidRPr="003558E5" w:rsidRDefault="00620644" w:rsidP="00620644">
      <w:pPr>
        <w:pStyle w:val="xmsonormal"/>
        <w:shd w:val="clear" w:color="auto" w:fill="FFFFFF"/>
        <w:rPr>
          <w:rFonts w:ascii="gobCL" w:hAnsi="gobCL"/>
          <w:b/>
          <w:bCs/>
          <w:color w:val="1F3864" w:themeColor="accent1" w:themeShade="80"/>
          <w:shd w:val="clear" w:color="auto" w:fill="FFFFFF"/>
        </w:rPr>
      </w:pP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1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b/>
          <w:bCs/>
          <w:color w:val="1F3864" w:themeColor="accent1" w:themeShade="80"/>
          <w:shd w:val="clear" w:color="auto" w:fill="FFFFFF"/>
        </w:rPr>
        <w:t> 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 xml:space="preserve"> 0.5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</w:p>
    <w:p w:rsidR="00620644" w:rsidRPr="003558E5" w:rsidRDefault="00620644" w:rsidP="00620644">
      <w:pPr>
        <w:pStyle w:val="xmsonormal"/>
        <w:shd w:val="clear" w:color="auto" w:fill="FFFFFF"/>
        <w:rPr>
          <w:rFonts w:ascii="gobCL" w:hAnsi="gobCL"/>
          <w:b/>
          <w:bCs/>
          <w:color w:val="1F3864" w:themeColor="accent1" w:themeShade="80"/>
          <w:shd w:val="clear" w:color="auto" w:fill="FFFFFF"/>
        </w:rPr>
      </w:pP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2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b/>
          <w:bCs/>
          <w:color w:val="1F3864" w:themeColor="accent1" w:themeShade="80"/>
          <w:shd w:val="clear" w:color="auto" w:fill="FFFFFF"/>
        </w:rPr>
        <w:t> 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 xml:space="preserve"> </w:t>
      </w:r>
      <w:r w:rsidRPr="003558E5">
        <w:rPr>
          <w:rStyle w:val="contentpasted0"/>
          <w:b/>
          <w:bCs/>
          <w:color w:val="1F3864" w:themeColor="accent1" w:themeShade="80"/>
          <w:shd w:val="clear" w:color="auto" w:fill="FFFFFF"/>
        </w:rPr>
        <w:t> 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 xml:space="preserve"> </w:t>
      </w:r>
      <w:r w:rsidRPr="003558E5">
        <w:rPr>
          <w:rStyle w:val="contentpasted0"/>
          <w:b/>
          <w:bCs/>
          <w:color w:val="1F3864" w:themeColor="accent1" w:themeShade="80"/>
          <w:shd w:val="clear" w:color="auto" w:fill="FFFFFF"/>
        </w:rPr>
        <w:t> 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 xml:space="preserve"> </w:t>
      </w:r>
      <w:r w:rsidRPr="003558E5">
        <w:rPr>
          <w:rStyle w:val="contentpasted0"/>
          <w:b/>
          <w:bCs/>
          <w:color w:val="1F3864" w:themeColor="accent1" w:themeShade="80"/>
          <w:shd w:val="clear" w:color="auto" w:fill="FFFFFF"/>
        </w:rPr>
        <w:t> 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1.0</w:t>
      </w:r>
    </w:p>
    <w:p w:rsidR="00620644" w:rsidRPr="003558E5" w:rsidRDefault="00620644" w:rsidP="00620644">
      <w:pPr>
        <w:pStyle w:val="xmsonormal"/>
        <w:shd w:val="clear" w:color="auto" w:fill="FFFFFF"/>
        <w:rPr>
          <w:rFonts w:ascii="gobCL" w:hAnsi="gobCL"/>
          <w:b/>
          <w:bCs/>
          <w:color w:val="1F3864" w:themeColor="accent1" w:themeShade="80"/>
          <w:shd w:val="clear" w:color="auto" w:fill="FFFFFF"/>
        </w:rPr>
      </w:pP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3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1.5</w:t>
      </w:r>
    </w:p>
    <w:p w:rsidR="00620644" w:rsidRPr="003558E5" w:rsidRDefault="00620644" w:rsidP="00620644">
      <w:pPr>
        <w:pStyle w:val="xmsonormal"/>
        <w:shd w:val="clear" w:color="auto" w:fill="FFFFFF"/>
        <w:rPr>
          <w:rFonts w:ascii="gobCL" w:hAnsi="gobCL"/>
          <w:b/>
          <w:bCs/>
          <w:color w:val="1F3864" w:themeColor="accent1" w:themeShade="80"/>
          <w:shd w:val="clear" w:color="auto" w:fill="FFFFFF"/>
        </w:rPr>
      </w:pP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4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b/>
          <w:bCs/>
          <w:color w:val="1F3864" w:themeColor="accent1" w:themeShade="80"/>
          <w:shd w:val="clear" w:color="auto" w:fill="FFFFFF"/>
        </w:rPr>
        <w:t> 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 xml:space="preserve"> </w:t>
      </w:r>
      <w:r w:rsidRPr="003558E5">
        <w:rPr>
          <w:rStyle w:val="contentpasted0"/>
          <w:b/>
          <w:bCs/>
          <w:color w:val="1F3864" w:themeColor="accent1" w:themeShade="80"/>
          <w:shd w:val="clear" w:color="auto" w:fill="FFFFFF"/>
        </w:rPr>
        <w:t> 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 xml:space="preserve"> </w:t>
      </w:r>
      <w:r w:rsidRPr="003558E5">
        <w:rPr>
          <w:rStyle w:val="contentpasted0"/>
          <w:b/>
          <w:bCs/>
          <w:color w:val="1F3864" w:themeColor="accent1" w:themeShade="80"/>
          <w:shd w:val="clear" w:color="auto" w:fill="FFFFFF"/>
        </w:rPr>
        <w:t> 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 xml:space="preserve"> </w:t>
      </w:r>
      <w:r w:rsidRPr="003558E5">
        <w:rPr>
          <w:rStyle w:val="contentpasted0"/>
          <w:b/>
          <w:bCs/>
          <w:color w:val="1F3864" w:themeColor="accent1" w:themeShade="80"/>
          <w:shd w:val="clear" w:color="auto" w:fill="FFFFFF"/>
        </w:rPr>
        <w:t> 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1.5</w:t>
      </w:r>
    </w:p>
    <w:p w:rsidR="00620644" w:rsidRPr="003558E5" w:rsidRDefault="00620644" w:rsidP="00620644">
      <w:pPr>
        <w:pStyle w:val="xmsonormal"/>
        <w:shd w:val="clear" w:color="auto" w:fill="FFFFFF"/>
        <w:rPr>
          <w:rFonts w:ascii="gobCL" w:hAnsi="gobCL"/>
          <w:b/>
          <w:bCs/>
          <w:color w:val="1F3864" w:themeColor="accent1" w:themeShade="80"/>
          <w:shd w:val="clear" w:color="auto" w:fill="FFFFFF"/>
        </w:rPr>
      </w:pP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5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1.5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</w:p>
    <w:p w:rsidR="00620644" w:rsidRPr="003558E5" w:rsidRDefault="00620644" w:rsidP="00620644">
      <w:pPr>
        <w:pStyle w:val="xmsonormal"/>
        <w:shd w:val="clear" w:color="auto" w:fill="FFFFFF"/>
        <w:rPr>
          <w:rFonts w:ascii="gobCL" w:hAnsi="gobCL"/>
          <w:b/>
          <w:bCs/>
          <w:color w:val="1F3864" w:themeColor="accent1" w:themeShade="80"/>
          <w:shd w:val="clear" w:color="auto" w:fill="FFFFFF"/>
        </w:rPr>
      </w:pP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6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b/>
          <w:bCs/>
          <w:color w:val="1F3864" w:themeColor="accent1" w:themeShade="80"/>
          <w:shd w:val="clear" w:color="auto" w:fill="FFFFFF"/>
        </w:rPr>
        <w:t> 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 xml:space="preserve"> </w:t>
      </w:r>
      <w:r w:rsidRPr="003558E5">
        <w:rPr>
          <w:rStyle w:val="contentpasted0"/>
          <w:b/>
          <w:bCs/>
          <w:color w:val="1F3864" w:themeColor="accent1" w:themeShade="80"/>
          <w:shd w:val="clear" w:color="auto" w:fill="FFFFFF"/>
        </w:rPr>
        <w:t> 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 xml:space="preserve"> </w:t>
      </w:r>
      <w:r w:rsidRPr="003558E5">
        <w:rPr>
          <w:rStyle w:val="contentpasted0"/>
          <w:b/>
          <w:bCs/>
          <w:color w:val="1F3864" w:themeColor="accent1" w:themeShade="80"/>
          <w:shd w:val="clear" w:color="auto" w:fill="FFFFFF"/>
        </w:rPr>
        <w:t> 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 xml:space="preserve"> </w:t>
      </w:r>
      <w:r w:rsidRPr="003558E5">
        <w:rPr>
          <w:rStyle w:val="contentpasted0"/>
          <w:b/>
          <w:bCs/>
          <w:color w:val="1F3864" w:themeColor="accent1" w:themeShade="80"/>
          <w:shd w:val="clear" w:color="auto" w:fill="FFFFFF"/>
        </w:rPr>
        <w:t> 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2.0</w:t>
      </w:r>
    </w:p>
    <w:p w:rsidR="00620644" w:rsidRPr="003558E5" w:rsidRDefault="00620644" w:rsidP="00620644">
      <w:pPr>
        <w:pStyle w:val="xmsonormal"/>
        <w:shd w:val="clear" w:color="auto" w:fill="FFFFFF"/>
        <w:rPr>
          <w:rFonts w:ascii="gobCL" w:hAnsi="gobCL"/>
          <w:b/>
          <w:bCs/>
          <w:color w:val="1F3864" w:themeColor="accent1" w:themeShade="80"/>
          <w:shd w:val="clear" w:color="auto" w:fill="FFFFFF"/>
        </w:rPr>
      </w:pP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7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b/>
          <w:bCs/>
          <w:color w:val="1F3864" w:themeColor="accent1" w:themeShade="80"/>
          <w:shd w:val="clear" w:color="auto" w:fill="FFFFFF"/>
        </w:rPr>
        <w:t> 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 xml:space="preserve"> </w:t>
      </w:r>
      <w:r w:rsidRPr="003558E5">
        <w:rPr>
          <w:rStyle w:val="contentpasted0"/>
          <w:b/>
          <w:bCs/>
          <w:color w:val="1F3864" w:themeColor="accent1" w:themeShade="80"/>
          <w:shd w:val="clear" w:color="auto" w:fill="FFFFFF"/>
        </w:rPr>
        <w:t> 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2.0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 </w:t>
      </w:r>
    </w:p>
    <w:p w:rsidR="00620644" w:rsidRPr="003558E5" w:rsidRDefault="00620644" w:rsidP="00620644">
      <w:pPr>
        <w:pStyle w:val="xmsonormal"/>
        <w:shd w:val="clear" w:color="auto" w:fill="FFFFFF"/>
        <w:rPr>
          <w:rFonts w:ascii="gobCL" w:hAnsi="gobCL"/>
          <w:b/>
          <w:bCs/>
          <w:color w:val="1F3864" w:themeColor="accent1" w:themeShade="80"/>
          <w:shd w:val="clear" w:color="auto" w:fill="FFFFFF"/>
        </w:rPr>
      </w:pPr>
      <w:r w:rsidRPr="003558E5">
        <w:rPr>
          <w:b/>
          <w:bCs/>
          <w:color w:val="1F3864" w:themeColor="accent1" w:themeShade="80"/>
          <w:shd w:val="clear" w:color="auto" w:fill="FFFFFF"/>
        </w:rPr>
        <w:t> </w:t>
      </w:r>
    </w:p>
    <w:p w:rsidR="00620644" w:rsidRPr="003558E5" w:rsidRDefault="00620644" w:rsidP="00620644">
      <w:pPr>
        <w:pStyle w:val="xmsonormal"/>
        <w:shd w:val="clear" w:color="auto" w:fill="FFFFFF"/>
        <w:jc w:val="both"/>
        <w:rPr>
          <w:rFonts w:ascii="gobCL" w:hAnsi="gobCL"/>
          <w:b/>
          <w:bCs/>
          <w:color w:val="1F3864" w:themeColor="accent1" w:themeShade="80"/>
          <w:shd w:val="clear" w:color="auto" w:fill="FFFFFF"/>
        </w:rPr>
      </w:pPr>
      <w:r w:rsidRPr="003558E5">
        <w:rPr>
          <w:rFonts w:ascii="gobCL" w:hAnsi="gobCL"/>
          <w:b/>
          <w:bCs/>
          <w:color w:val="1F3864" w:themeColor="accent1" w:themeShade="80"/>
          <w:shd w:val="clear" w:color="auto" w:fill="FFFFFF"/>
        </w:rPr>
        <w:lastRenderedPageBreak/>
        <w:t>Escenario:</w:t>
      </w:r>
      <w:r w:rsidRPr="003558E5">
        <w:rPr>
          <w:b/>
          <w:bCs/>
          <w:color w:val="1F3864" w:themeColor="accent1" w:themeShade="80"/>
          <w:shd w:val="clear" w:color="auto" w:fill="FFFFFF"/>
        </w:rPr>
        <w:t> </w:t>
      </w:r>
      <w:r w:rsidRPr="003558E5">
        <w:rPr>
          <w:rFonts w:ascii="gobCL" w:hAnsi="gobCL"/>
          <w:b/>
          <w:bCs/>
          <w:color w:val="1F3864" w:themeColor="accent1" w:themeShade="80"/>
          <w:shd w:val="clear" w:color="auto" w:fill="FFFFFF"/>
        </w:rPr>
        <w:t xml:space="preserve"> El oferente presenta garant</w:t>
      </w:r>
      <w:r w:rsidRPr="003558E5">
        <w:rPr>
          <w:rFonts w:ascii="gobCL" w:hAnsi="gobCL" w:cs="gobCL"/>
          <w:b/>
          <w:bCs/>
          <w:color w:val="1F3864" w:themeColor="accent1" w:themeShade="80"/>
          <w:shd w:val="clear" w:color="auto" w:fill="FFFFFF"/>
        </w:rPr>
        <w:t>í</w:t>
      </w:r>
      <w:r w:rsidRPr="003558E5">
        <w:rPr>
          <w:rFonts w:ascii="gobCL" w:hAnsi="gobCL"/>
          <w:b/>
          <w:bCs/>
          <w:color w:val="1F3864" w:themeColor="accent1" w:themeShade="80"/>
          <w:shd w:val="clear" w:color="auto" w:fill="FFFFFF"/>
        </w:rPr>
        <w:t>as por el 50% o 5% de la subasta</w:t>
      </w:r>
    </w:p>
    <w:p w:rsidR="00BE780F" w:rsidRPr="003558E5" w:rsidRDefault="00BE780F" w:rsidP="00620644">
      <w:pPr>
        <w:pStyle w:val="xmsonormal"/>
        <w:shd w:val="clear" w:color="auto" w:fill="FFFFFF"/>
        <w:jc w:val="both"/>
        <w:rPr>
          <w:rFonts w:ascii="gobCL" w:hAnsi="gobCL"/>
          <w:b/>
          <w:bCs/>
          <w:color w:val="1F3864" w:themeColor="accent1" w:themeShade="80"/>
          <w:shd w:val="clear" w:color="auto" w:fill="FFFFFF"/>
        </w:rPr>
      </w:pPr>
    </w:p>
    <w:p w:rsidR="00620644" w:rsidRPr="003558E5" w:rsidRDefault="00620644" w:rsidP="00620644">
      <w:pPr>
        <w:pStyle w:val="xmsonormal"/>
        <w:shd w:val="clear" w:color="auto" w:fill="FFFFFF"/>
        <w:jc w:val="both"/>
        <w:rPr>
          <w:rFonts w:ascii="gobCL" w:hAnsi="gobCL"/>
          <w:b/>
          <w:bCs/>
          <w:color w:val="1F3864" w:themeColor="accent1" w:themeShade="80"/>
          <w:shd w:val="clear" w:color="auto" w:fill="FFFFFF"/>
        </w:rPr>
      </w:pP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Caso A: Si el oferente adjudicó los lotes 1, 2 y 3 suma 3%, luego puede participar por el lote 4, o 5 o 6 y estaría cubriendo con su garantía cada posible adjudicación.</w:t>
      </w:r>
    </w:p>
    <w:p w:rsidR="00620644" w:rsidRPr="003558E5" w:rsidRDefault="00620644" w:rsidP="00620644">
      <w:pPr>
        <w:pStyle w:val="xmsonormal"/>
        <w:shd w:val="clear" w:color="auto" w:fill="FFFFFF"/>
        <w:jc w:val="both"/>
        <w:rPr>
          <w:rFonts w:ascii="gobCL" w:hAnsi="gobCL"/>
          <w:b/>
          <w:bCs/>
          <w:color w:val="1F3864" w:themeColor="accent1" w:themeShade="80"/>
          <w:shd w:val="clear" w:color="auto" w:fill="FFFFFF"/>
        </w:rPr>
      </w:pPr>
    </w:p>
    <w:p w:rsidR="00620644" w:rsidRPr="003558E5" w:rsidRDefault="00620644" w:rsidP="00620644">
      <w:pPr>
        <w:pStyle w:val="xmsonormal"/>
        <w:shd w:val="clear" w:color="auto" w:fill="FFFFFF"/>
        <w:jc w:val="both"/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</w:pPr>
      <w:r w:rsidRPr="003558E5">
        <w:rPr>
          <w:rStyle w:val="contentpasted0"/>
          <w:b/>
          <w:bCs/>
          <w:color w:val="1F3864" w:themeColor="accent1" w:themeShade="80"/>
          <w:shd w:val="clear" w:color="auto" w:fill="FFFFFF"/>
        </w:rPr>
        <w:t> 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Caso A*: Si el oferente adjudic</w:t>
      </w:r>
      <w:r w:rsidRPr="003558E5">
        <w:rPr>
          <w:rStyle w:val="contentpasted0"/>
          <w:rFonts w:ascii="gobCL" w:hAnsi="gobCL" w:cs="gobCL"/>
          <w:b/>
          <w:bCs/>
          <w:color w:val="1F3864" w:themeColor="accent1" w:themeShade="80"/>
          <w:shd w:val="clear" w:color="auto" w:fill="FFFFFF"/>
        </w:rPr>
        <w:t>ó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 xml:space="preserve"> los lotes 1, 2 y 3 suma 3%, luego puede participar por el lote 4, o 5 o 6. Si participa con el 100% de la garant</w:t>
      </w:r>
      <w:r w:rsidRPr="003558E5">
        <w:rPr>
          <w:rStyle w:val="contentpasted0"/>
          <w:rFonts w:ascii="gobCL" w:hAnsi="gobCL" w:cs="gobCL"/>
          <w:b/>
          <w:bCs/>
          <w:color w:val="1F3864" w:themeColor="accent1" w:themeShade="80"/>
          <w:shd w:val="clear" w:color="auto" w:fill="FFFFFF"/>
        </w:rPr>
        <w:t>í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 xml:space="preserve">a es 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irrelevante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 xml:space="preserve"> puesto que s</w:t>
      </w:r>
      <w:r w:rsidRPr="003558E5">
        <w:rPr>
          <w:rStyle w:val="contentpasted0"/>
          <w:rFonts w:ascii="gobCL" w:hAnsi="gobCL" w:cs="gobCL"/>
          <w:b/>
          <w:bCs/>
          <w:color w:val="1F3864" w:themeColor="accent1" w:themeShade="80"/>
          <w:shd w:val="clear" w:color="auto" w:fill="FFFFFF"/>
        </w:rPr>
        <w:t>ó</w:t>
      </w: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lo interesa que cubra el 50%. entonces lo que determina su adjudicación es su adjudicación previa (el % con que se presenta al lote adicional) y el % del lote adicional, No que tenga más del 50% asegurado. Basta con que tenga el 50% y estaría cubriendo con su garantía cada posible adjudicación.</w:t>
      </w:r>
    </w:p>
    <w:p w:rsidR="00620644" w:rsidRPr="003558E5" w:rsidRDefault="00620644" w:rsidP="00620644">
      <w:pPr>
        <w:pStyle w:val="xmsonormal"/>
        <w:shd w:val="clear" w:color="auto" w:fill="FFFFFF"/>
        <w:rPr>
          <w:rStyle w:val="contentpasted0"/>
          <w:rFonts w:ascii="gobCL" w:hAnsi="gobCL"/>
          <w:color w:val="000000"/>
          <w:shd w:val="clear" w:color="auto" w:fill="FFFFFF"/>
        </w:rPr>
      </w:pPr>
    </w:p>
    <w:p w:rsidR="00620644" w:rsidRPr="003558E5" w:rsidRDefault="00620644" w:rsidP="00620644">
      <w:pPr>
        <w:pStyle w:val="xmsonormal"/>
        <w:shd w:val="clear" w:color="auto" w:fill="FFFFFF"/>
        <w:rPr>
          <w:rFonts w:ascii="gobCL" w:hAnsi="gobCL"/>
          <w:b/>
          <w:bCs/>
          <w:color w:val="1F3864" w:themeColor="accent1" w:themeShade="80"/>
          <w:shd w:val="clear" w:color="auto" w:fill="FFFFFF"/>
        </w:rPr>
      </w:pPr>
      <w:r w:rsidRPr="003558E5">
        <w:rPr>
          <w:rStyle w:val="contentpasted0"/>
          <w:rFonts w:ascii="gobCL" w:hAnsi="gobCL"/>
          <w:b/>
          <w:bCs/>
          <w:color w:val="1F3864" w:themeColor="accent1" w:themeShade="80"/>
          <w:shd w:val="clear" w:color="auto" w:fill="FFFFFF"/>
        </w:rPr>
        <w:t>Caso B: Si el</w:t>
      </w:r>
      <w:r w:rsidRPr="003558E5">
        <w:rPr>
          <w:rStyle w:val="xcontentpasted0"/>
          <w:b/>
          <w:bCs/>
          <w:color w:val="1F3864" w:themeColor="accent1" w:themeShade="80"/>
          <w:shd w:val="clear" w:color="auto" w:fill="FFFFFF"/>
        </w:rPr>
        <w:t> </w:t>
      </w:r>
      <w:r w:rsidRPr="003558E5">
        <w:rPr>
          <w:rStyle w:val="xcontentpasted0"/>
          <w:rFonts w:ascii="gobCL" w:hAnsi="gobCL"/>
          <w:b/>
          <w:bCs/>
          <w:color w:val="1F3864" w:themeColor="accent1" w:themeShade="80"/>
          <w:shd w:val="clear" w:color="auto" w:fill="FFFFFF"/>
        </w:rPr>
        <w:t>oferente adjudic</w:t>
      </w:r>
      <w:r w:rsidRPr="003558E5">
        <w:rPr>
          <w:rStyle w:val="xcontentpasted0"/>
          <w:rFonts w:ascii="gobCL" w:hAnsi="gobCL" w:cs="gobCL"/>
          <w:b/>
          <w:bCs/>
          <w:color w:val="1F3864" w:themeColor="accent1" w:themeShade="80"/>
          <w:shd w:val="clear" w:color="auto" w:fill="FFFFFF"/>
        </w:rPr>
        <w:t>ó</w:t>
      </w:r>
      <w:r w:rsidRPr="003558E5">
        <w:rPr>
          <w:rStyle w:val="xcontentpasted0"/>
          <w:rFonts w:ascii="gobCL" w:hAnsi="gobCL"/>
          <w:b/>
          <w:bCs/>
          <w:color w:val="1F3864" w:themeColor="accent1" w:themeShade="80"/>
          <w:shd w:val="clear" w:color="auto" w:fill="FFFFFF"/>
        </w:rPr>
        <w:t xml:space="preserve"> los lotes 1, 2 y 6 suma 3,5%, luego -aunque tenga garantizado más del 50% o incluso el 100% no puede seguir participando</w:t>
      </w:r>
    </w:p>
    <w:p w:rsidR="003558E5" w:rsidRDefault="003558E5" w:rsidP="00620644">
      <w:pPr>
        <w:rPr>
          <w:rFonts w:ascii="gobCL" w:hAnsi="gobCL"/>
          <w:b/>
          <w:bCs/>
          <w:color w:val="1F3864" w:themeColor="accent1" w:themeShade="80"/>
          <w:shd w:val="clear" w:color="auto" w:fill="FFFFFF"/>
        </w:rPr>
      </w:pPr>
    </w:p>
    <w:p w:rsidR="00620644" w:rsidRPr="003558E5" w:rsidRDefault="00620644" w:rsidP="00620644">
      <w:pPr>
        <w:rPr>
          <w:rFonts w:ascii="gobCL" w:hAnsi="gobCL"/>
          <w:b/>
          <w:bCs/>
          <w:color w:val="1F3864" w:themeColor="accent1" w:themeShade="80"/>
        </w:rPr>
      </w:pPr>
      <w:r w:rsidRPr="003558E5">
        <w:rPr>
          <w:rFonts w:ascii="gobCL" w:hAnsi="gobCL"/>
          <w:b/>
          <w:bCs/>
          <w:color w:val="1F3864" w:themeColor="accent1" w:themeShade="80"/>
          <w:shd w:val="clear" w:color="auto" w:fill="FFFFFF"/>
        </w:rPr>
        <w:t>Esto es crucial.</w:t>
      </w:r>
    </w:p>
    <w:p w:rsidR="00585FBA" w:rsidRPr="003558E5" w:rsidRDefault="00585FBA" w:rsidP="00585FBA">
      <w:pPr>
        <w:rPr>
          <w:rFonts w:ascii="gobCL" w:hAnsi="gobCL"/>
        </w:rPr>
      </w:pPr>
    </w:p>
    <w:p w:rsidR="00620644" w:rsidRPr="003558E5" w:rsidRDefault="00585FBA" w:rsidP="00620644">
      <w:pPr>
        <w:jc w:val="both"/>
        <w:rPr>
          <w:rFonts w:ascii="gobCL" w:hAnsi="gobCL"/>
        </w:rPr>
      </w:pPr>
      <w:r w:rsidRPr="003558E5">
        <w:rPr>
          <w:rFonts w:ascii="gobCL" w:hAnsi="gobCL"/>
        </w:rPr>
        <w:t xml:space="preserve">11.- </w:t>
      </w:r>
      <w:r w:rsidR="00620644" w:rsidRPr="003558E5">
        <w:rPr>
          <w:rFonts w:ascii="gobCL" w:hAnsi="gobCL"/>
        </w:rPr>
        <w:t xml:space="preserve">La Resolución EX </w:t>
      </w:r>
      <w:proofErr w:type="spellStart"/>
      <w:r w:rsidR="00620644" w:rsidRPr="003558E5">
        <w:rPr>
          <w:rFonts w:ascii="gobCL" w:hAnsi="gobCL"/>
        </w:rPr>
        <w:t>N°</w:t>
      </w:r>
      <w:proofErr w:type="spellEnd"/>
      <w:r w:rsidR="00620644" w:rsidRPr="003558E5">
        <w:rPr>
          <w:rFonts w:ascii="gobCL" w:hAnsi="gobCL"/>
        </w:rPr>
        <w:t xml:space="preserve"> 2395 de 18 de noviembre de 2022 aprueba las bases administrativas para la subasta de los permisos extraordinarios de pesca del bacalao para el año 2023.</w:t>
      </w:r>
    </w:p>
    <w:p w:rsidR="00620644" w:rsidRPr="003558E5" w:rsidRDefault="00620644" w:rsidP="00620644">
      <w:pPr>
        <w:jc w:val="both"/>
        <w:rPr>
          <w:rFonts w:ascii="gobCL" w:hAnsi="gobCL"/>
        </w:rPr>
      </w:pPr>
      <w:r w:rsidRPr="003558E5">
        <w:rPr>
          <w:rFonts w:ascii="gobCL" w:hAnsi="gobCL"/>
        </w:rPr>
        <w:br/>
        <w:t>En el numeral 15 letra e) de la citada resolución que se refiere a la</w:t>
      </w:r>
      <w:r w:rsidRPr="003558E5">
        <w:rPr>
          <w:rFonts w:ascii="gobCL" w:hAnsi="gobCL"/>
        </w:rPr>
        <w:t>s</w:t>
      </w:r>
      <w:r w:rsidRPr="003558E5">
        <w:rPr>
          <w:rFonts w:ascii="gobCL" w:hAnsi="gobCL"/>
        </w:rPr>
        <w:t xml:space="preserve"> obligaciones del adjudicatario se indica que: “Las naves o embarcaciones con las que se hagan efectivos los PEP deberán tener instalado un dispositivo de posicionamiento automática en el mar, según lo establecido en el</w:t>
      </w:r>
      <w:r w:rsidRPr="003558E5">
        <w:rPr>
          <w:rFonts w:ascii="gobCL" w:hAnsi="gobCL"/>
        </w:rPr>
        <w:br/>
        <w:t xml:space="preserve">artículo 64B de la </w:t>
      </w:r>
      <w:proofErr w:type="spellStart"/>
      <w:r w:rsidRPr="003558E5">
        <w:rPr>
          <w:rFonts w:ascii="gobCL" w:hAnsi="gobCL"/>
        </w:rPr>
        <w:t>LGPA</w:t>
      </w:r>
      <w:proofErr w:type="spellEnd"/>
      <w:r w:rsidRPr="003558E5">
        <w:rPr>
          <w:rFonts w:ascii="gobCL" w:hAnsi="gobCL"/>
        </w:rPr>
        <w:t>”.</w:t>
      </w:r>
    </w:p>
    <w:p w:rsidR="00620644" w:rsidRPr="003558E5" w:rsidRDefault="00620644" w:rsidP="00620644">
      <w:pPr>
        <w:jc w:val="both"/>
        <w:rPr>
          <w:rFonts w:ascii="gobCL" w:hAnsi="gobCL"/>
        </w:rPr>
      </w:pPr>
      <w:r w:rsidRPr="003558E5">
        <w:rPr>
          <w:rFonts w:ascii="gobCL" w:hAnsi="gobCL"/>
        </w:rPr>
        <w:br/>
        <w:t xml:space="preserve">Se requiere la siguiente </w:t>
      </w:r>
      <w:r w:rsidRPr="003558E5">
        <w:rPr>
          <w:rFonts w:ascii="gobCL" w:hAnsi="gobCL"/>
        </w:rPr>
        <w:t>aclaración:</w:t>
      </w:r>
      <w:r w:rsidRPr="003558E5">
        <w:rPr>
          <w:rFonts w:ascii="gobCL" w:hAnsi="gobCL"/>
        </w:rPr>
        <w:t xml:space="preserve"> El artículo 64 </w:t>
      </w:r>
      <w:proofErr w:type="spellStart"/>
      <w:r w:rsidRPr="003558E5">
        <w:rPr>
          <w:rFonts w:ascii="gobCL" w:hAnsi="gobCL"/>
        </w:rPr>
        <w:t>Ia</w:t>
      </w:r>
      <w:proofErr w:type="spellEnd"/>
      <w:r w:rsidRPr="003558E5">
        <w:rPr>
          <w:rFonts w:ascii="gobCL" w:hAnsi="gobCL"/>
        </w:rPr>
        <w:t xml:space="preserve"> de la misma Ley señala que los armadores de naves pesqueras a que se refiere el artículo 64B y los armadores artesanales respecto de sus embarcaciones que tengan una eslora igual o superior a 15 metros deberán instalar a b</w:t>
      </w:r>
      <w:r w:rsidR="003558E5" w:rsidRPr="003558E5">
        <w:rPr>
          <w:rFonts w:ascii="gobCL" w:hAnsi="gobCL"/>
        </w:rPr>
        <w:t>o</w:t>
      </w:r>
      <w:r w:rsidRPr="003558E5">
        <w:rPr>
          <w:rFonts w:ascii="gobCL" w:hAnsi="gobCL"/>
        </w:rPr>
        <w:t>rdo y mantener en funcionamiento durante todo el viaje de pesca un registro de imágenes que permita detectar y registrar toda acción de descarte que pueda ocurrir a bordo”.</w:t>
      </w:r>
    </w:p>
    <w:p w:rsidR="00620644" w:rsidRPr="003558E5" w:rsidRDefault="00620644" w:rsidP="00620644">
      <w:pPr>
        <w:jc w:val="both"/>
        <w:rPr>
          <w:rFonts w:ascii="gobCL" w:hAnsi="gobCL"/>
        </w:rPr>
      </w:pPr>
      <w:r w:rsidRPr="003558E5">
        <w:rPr>
          <w:rFonts w:ascii="gobCL" w:hAnsi="gobCL"/>
        </w:rPr>
        <w:br/>
        <w:t xml:space="preserve">En atención a que esta disposición se encuentra vigente para las embarcaciones industriales y </w:t>
      </w:r>
      <w:r w:rsidRPr="003558E5">
        <w:rPr>
          <w:rFonts w:ascii="gobCL" w:hAnsi="gobCL"/>
        </w:rPr>
        <w:t>artesanales,</w:t>
      </w:r>
      <w:r w:rsidRPr="003558E5">
        <w:rPr>
          <w:rFonts w:ascii="gobCL" w:hAnsi="gobCL"/>
        </w:rPr>
        <w:t xml:space="preserve"> pero para el caso de estas últimas hay una Resolución que aplaza su vigencia mientras se mantenga el estado de emergencia del </w:t>
      </w:r>
      <w:proofErr w:type="spellStart"/>
      <w:r w:rsidRPr="003558E5">
        <w:rPr>
          <w:rFonts w:ascii="gobCL" w:hAnsi="gobCL"/>
        </w:rPr>
        <w:t>COVID</w:t>
      </w:r>
      <w:proofErr w:type="spellEnd"/>
      <w:r w:rsidRPr="003558E5">
        <w:rPr>
          <w:rFonts w:ascii="gobCL" w:hAnsi="gobCL"/>
        </w:rPr>
        <w:t xml:space="preserve">, lo que posiblemente ocurrirá el 31 de Diciembre de 2022 ¿SE LE EXIGIRÁ A ESTAS EMBARCACIONES LA INSTALACIÓN DE ESTE REGISTRO DE IMÁGENES PARA OPERAR EN EL ÁREA </w:t>
      </w:r>
      <w:r w:rsidR="003558E5" w:rsidRPr="003558E5">
        <w:rPr>
          <w:rFonts w:ascii="gobCL" w:hAnsi="gobCL"/>
        </w:rPr>
        <w:t>LICITADA?</w:t>
      </w:r>
    </w:p>
    <w:p w:rsidR="00620644" w:rsidRPr="003558E5" w:rsidRDefault="00620644" w:rsidP="00620644">
      <w:pPr>
        <w:jc w:val="both"/>
        <w:rPr>
          <w:rFonts w:ascii="gobCL" w:hAnsi="gobCL"/>
        </w:rPr>
      </w:pPr>
      <w:r w:rsidRPr="003558E5">
        <w:rPr>
          <w:rFonts w:ascii="gobCL" w:hAnsi="gobCL"/>
        </w:rPr>
        <w:t>Recordar que la licitación es por la cuota de pesca de los próximos 10 años. Al parecer corresponde complementar este numeral 15 letra e) de la Resol Ex N°2395.</w:t>
      </w:r>
      <w:r w:rsidRPr="003558E5">
        <w:t> </w:t>
      </w:r>
    </w:p>
    <w:p w:rsidR="003558E5" w:rsidRPr="003558E5" w:rsidRDefault="003558E5" w:rsidP="00620644">
      <w:pPr>
        <w:jc w:val="both"/>
        <w:rPr>
          <w:rFonts w:ascii="gobCL" w:hAnsi="gobCL"/>
        </w:rPr>
      </w:pPr>
    </w:p>
    <w:p w:rsidR="00000C1F" w:rsidRDefault="003558E5" w:rsidP="00620644">
      <w:pPr>
        <w:jc w:val="both"/>
        <w:rPr>
          <w:rFonts w:ascii="gobCL" w:hAnsi="gobCL"/>
          <w:b/>
          <w:bCs/>
          <w:color w:val="1F3864" w:themeColor="accent1" w:themeShade="80"/>
        </w:rPr>
      </w:pPr>
      <w:r w:rsidRPr="003558E5">
        <w:rPr>
          <w:rFonts w:ascii="gobCL" w:hAnsi="gobCL"/>
          <w:b/>
          <w:bCs/>
          <w:color w:val="1F3864" w:themeColor="accent1" w:themeShade="80"/>
        </w:rPr>
        <w:lastRenderedPageBreak/>
        <w:t xml:space="preserve">La obligación legal de contar con </w:t>
      </w:r>
      <w:r w:rsidRPr="003558E5">
        <w:rPr>
          <w:rFonts w:ascii="gobCL" w:hAnsi="gobCL"/>
          <w:b/>
          <w:bCs/>
          <w:color w:val="1F3864" w:themeColor="accent1" w:themeShade="80"/>
        </w:rPr>
        <w:t>un dispositivo de posicionamiento automática</w:t>
      </w:r>
      <w:r w:rsidRPr="003558E5">
        <w:rPr>
          <w:rFonts w:ascii="gobCL" w:hAnsi="gobCL"/>
          <w:b/>
          <w:bCs/>
          <w:color w:val="1F3864" w:themeColor="accent1" w:themeShade="80"/>
        </w:rPr>
        <w:t xml:space="preserve"> rige una vez adjudicado el permiso y dice relación con su operación</w:t>
      </w:r>
      <w:r w:rsidR="00953B66">
        <w:rPr>
          <w:rFonts w:ascii="gobCL" w:hAnsi="gobCL"/>
          <w:b/>
          <w:bCs/>
          <w:color w:val="1F3864" w:themeColor="accent1" w:themeShade="80"/>
        </w:rPr>
        <w:t xml:space="preserve">, ella no se encuentra postergada. </w:t>
      </w:r>
    </w:p>
    <w:p w:rsidR="003558E5" w:rsidRDefault="00000C1F" w:rsidP="00620644">
      <w:pPr>
        <w:jc w:val="both"/>
        <w:rPr>
          <w:rFonts w:ascii="gobCL" w:hAnsi="gobCL"/>
          <w:b/>
          <w:bCs/>
          <w:color w:val="1F3864" w:themeColor="accent1" w:themeShade="80"/>
        </w:rPr>
      </w:pPr>
      <w:r>
        <w:rPr>
          <w:rFonts w:ascii="gobCL" w:hAnsi="gobCL"/>
          <w:b/>
          <w:bCs/>
          <w:color w:val="1F3864" w:themeColor="accent1" w:themeShade="80"/>
        </w:rPr>
        <w:t>Hay que recordar</w:t>
      </w:r>
      <w:r w:rsidR="00953B66">
        <w:rPr>
          <w:rFonts w:ascii="gobCL" w:hAnsi="gobCL"/>
          <w:b/>
          <w:bCs/>
          <w:color w:val="1F3864" w:themeColor="accent1" w:themeShade="80"/>
        </w:rPr>
        <w:t xml:space="preserve"> que el artículo décimo quinto</w:t>
      </w:r>
      <w:r>
        <w:rPr>
          <w:rFonts w:ascii="gobCL" w:hAnsi="gobCL"/>
          <w:b/>
          <w:bCs/>
          <w:color w:val="1F3864" w:themeColor="accent1" w:themeShade="80"/>
        </w:rPr>
        <w:t xml:space="preserve"> de la Ley </w:t>
      </w:r>
      <w:proofErr w:type="spellStart"/>
      <w:r>
        <w:rPr>
          <w:rFonts w:ascii="gobCL" w:hAnsi="gobCL"/>
          <w:b/>
          <w:bCs/>
          <w:color w:val="1F3864" w:themeColor="accent1" w:themeShade="80"/>
        </w:rPr>
        <w:t>N°</w:t>
      </w:r>
      <w:proofErr w:type="spellEnd"/>
      <w:r>
        <w:rPr>
          <w:rFonts w:ascii="gobCL" w:hAnsi="gobCL"/>
          <w:b/>
          <w:bCs/>
          <w:color w:val="1F3864" w:themeColor="accent1" w:themeShade="80"/>
        </w:rPr>
        <w:t xml:space="preserve"> 20.657 </w:t>
      </w:r>
      <w:proofErr w:type="spellStart"/>
      <w:r>
        <w:rPr>
          <w:rFonts w:ascii="gobCL" w:hAnsi="gobCL"/>
          <w:b/>
          <w:bCs/>
          <w:color w:val="1F3864" w:themeColor="accent1" w:themeShade="80"/>
        </w:rPr>
        <w:t>de</w:t>
      </w:r>
      <w:proofErr w:type="spellEnd"/>
      <w:r>
        <w:rPr>
          <w:rFonts w:ascii="gobCL" w:hAnsi="gobCL"/>
          <w:b/>
          <w:bCs/>
          <w:color w:val="1F3864" w:themeColor="accent1" w:themeShade="80"/>
        </w:rPr>
        <w:t xml:space="preserve"> 2</w:t>
      </w:r>
      <w:bookmarkStart w:id="0" w:name="_GoBack"/>
      <w:bookmarkEnd w:id="0"/>
      <w:r>
        <w:rPr>
          <w:rFonts w:ascii="gobCL" w:hAnsi="gobCL"/>
          <w:b/>
          <w:bCs/>
          <w:color w:val="1F3864" w:themeColor="accent1" w:themeShade="80"/>
        </w:rPr>
        <w:t>013</w:t>
      </w:r>
      <w:r w:rsidR="00953B66">
        <w:rPr>
          <w:rFonts w:ascii="gobCL" w:hAnsi="gobCL"/>
          <w:b/>
          <w:bCs/>
          <w:color w:val="1F3864" w:themeColor="accent1" w:themeShade="80"/>
        </w:rPr>
        <w:t xml:space="preserve"> establece en lo pertinente que </w:t>
      </w:r>
      <w:r w:rsidRPr="00000C1F">
        <w:rPr>
          <w:rFonts w:ascii="gobCL" w:hAnsi="gobCL"/>
          <w:b/>
          <w:bCs/>
          <w:i/>
          <w:iCs/>
          <w:color w:val="1F3864" w:themeColor="accent1" w:themeShade="80"/>
        </w:rPr>
        <w:t>“las</w:t>
      </w:r>
      <w:r w:rsidR="00953B66" w:rsidRPr="00000C1F">
        <w:rPr>
          <w:rFonts w:ascii="gobCL" w:hAnsi="gobCL"/>
          <w:b/>
          <w:bCs/>
          <w:i/>
          <w:iCs/>
          <w:color w:val="1F3864" w:themeColor="accent1" w:themeShade="80"/>
        </w:rPr>
        <w:t xml:space="preserve"> </w:t>
      </w:r>
      <w:r w:rsidRPr="00000C1F">
        <w:rPr>
          <w:rFonts w:ascii="gobCL" w:hAnsi="gobCL"/>
          <w:b/>
          <w:bCs/>
          <w:i/>
          <w:iCs/>
          <w:color w:val="1F3864" w:themeColor="accent1" w:themeShade="80"/>
        </w:rPr>
        <w:t>embarcaciones</w:t>
      </w:r>
      <w:r w:rsidR="00953B66" w:rsidRPr="00000C1F">
        <w:rPr>
          <w:rFonts w:ascii="gobCL" w:hAnsi="gobCL"/>
          <w:b/>
          <w:bCs/>
          <w:i/>
          <w:iCs/>
          <w:color w:val="1F3864" w:themeColor="accent1" w:themeShade="80"/>
        </w:rPr>
        <w:t xml:space="preserve"> que se </w:t>
      </w:r>
      <w:r w:rsidRPr="00000C1F">
        <w:rPr>
          <w:rFonts w:ascii="gobCL" w:hAnsi="gobCL"/>
          <w:b/>
          <w:bCs/>
          <w:i/>
          <w:iCs/>
          <w:color w:val="1F3864" w:themeColor="accent1" w:themeShade="80"/>
        </w:rPr>
        <w:t>utilicen</w:t>
      </w:r>
      <w:r w:rsidR="00953B66" w:rsidRPr="00000C1F">
        <w:rPr>
          <w:rFonts w:ascii="gobCL" w:hAnsi="gobCL"/>
          <w:b/>
          <w:bCs/>
          <w:i/>
          <w:iCs/>
          <w:color w:val="1F3864" w:themeColor="accent1" w:themeShade="80"/>
        </w:rPr>
        <w:t xml:space="preserve"> para hacer efectivos los permisos </w:t>
      </w:r>
      <w:r w:rsidRPr="00000C1F">
        <w:rPr>
          <w:rFonts w:ascii="gobCL" w:hAnsi="gobCL"/>
          <w:b/>
          <w:bCs/>
          <w:i/>
          <w:iCs/>
          <w:color w:val="1F3864" w:themeColor="accent1" w:themeShade="80"/>
        </w:rPr>
        <w:t>extraordinarios</w:t>
      </w:r>
      <w:r w:rsidR="00953B66" w:rsidRPr="00000C1F">
        <w:rPr>
          <w:rFonts w:ascii="gobCL" w:hAnsi="gobCL"/>
          <w:b/>
          <w:bCs/>
          <w:i/>
          <w:iCs/>
          <w:color w:val="1F3864" w:themeColor="accent1" w:themeShade="80"/>
        </w:rPr>
        <w:t xml:space="preserve"> de pesca deberán dar cumplimento a la exigencia de posiciona </w:t>
      </w:r>
      <w:r w:rsidRPr="00000C1F">
        <w:rPr>
          <w:rFonts w:ascii="gobCL" w:hAnsi="gobCL"/>
          <w:b/>
          <w:bCs/>
          <w:i/>
          <w:iCs/>
          <w:color w:val="1F3864" w:themeColor="accent1" w:themeShade="80"/>
        </w:rPr>
        <w:t>satelital</w:t>
      </w:r>
      <w:r w:rsidR="00953B66" w:rsidRPr="00000C1F">
        <w:rPr>
          <w:rFonts w:ascii="gobCL" w:hAnsi="gobCL"/>
          <w:b/>
          <w:bCs/>
          <w:i/>
          <w:iCs/>
          <w:color w:val="1F3864" w:themeColor="accent1" w:themeShade="80"/>
        </w:rPr>
        <w:t xml:space="preserve"> y certificación de capturas”</w:t>
      </w:r>
      <w:r w:rsidR="00953B66">
        <w:rPr>
          <w:rFonts w:ascii="gobCL" w:hAnsi="gobCL"/>
          <w:b/>
          <w:bCs/>
          <w:color w:val="1F3864" w:themeColor="accent1" w:themeShade="80"/>
        </w:rPr>
        <w:t>.</w:t>
      </w:r>
      <w:r w:rsidR="003558E5" w:rsidRPr="003558E5">
        <w:rPr>
          <w:rFonts w:ascii="gobCL" w:hAnsi="gobCL"/>
          <w:b/>
          <w:bCs/>
          <w:color w:val="1F3864" w:themeColor="accent1" w:themeShade="80"/>
        </w:rPr>
        <w:t xml:space="preserve"> </w:t>
      </w:r>
    </w:p>
    <w:p w:rsidR="00000C1F" w:rsidRDefault="00000C1F" w:rsidP="00620644">
      <w:pPr>
        <w:jc w:val="both"/>
        <w:rPr>
          <w:rFonts w:ascii="gobCL" w:hAnsi="gobCL"/>
          <w:b/>
          <w:bCs/>
          <w:color w:val="1F3864" w:themeColor="accent1" w:themeShade="80"/>
        </w:rPr>
      </w:pPr>
    </w:p>
    <w:p w:rsidR="00585FBA" w:rsidRPr="003558E5" w:rsidRDefault="00585FBA" w:rsidP="00585FBA">
      <w:pPr>
        <w:rPr>
          <w:rFonts w:ascii="gobCL" w:hAnsi="gobCL"/>
        </w:rPr>
      </w:pPr>
    </w:p>
    <w:sectPr w:rsidR="00585FBA" w:rsidRPr="003558E5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8E5" w:rsidRDefault="003558E5" w:rsidP="003558E5">
      <w:r>
        <w:separator/>
      </w:r>
    </w:p>
  </w:endnote>
  <w:endnote w:type="continuationSeparator" w:id="0">
    <w:p w:rsidR="003558E5" w:rsidRDefault="003558E5" w:rsidP="0035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8E5" w:rsidRPr="003558E5" w:rsidRDefault="003558E5">
    <w:pPr>
      <w:tabs>
        <w:tab w:val="center" w:pos="4550"/>
        <w:tab w:val="left" w:pos="5818"/>
      </w:tabs>
      <w:ind w:right="260"/>
      <w:jc w:val="right"/>
      <w:rPr>
        <w:rFonts w:ascii="gobCL" w:hAnsi="gobCL"/>
        <w:sz w:val="20"/>
        <w:szCs w:val="20"/>
      </w:rPr>
    </w:pPr>
    <w:r w:rsidRPr="003558E5">
      <w:rPr>
        <w:rFonts w:ascii="gobCL" w:hAnsi="gobCL"/>
        <w:spacing w:val="60"/>
        <w:sz w:val="20"/>
        <w:szCs w:val="20"/>
        <w:lang w:val="es-ES"/>
      </w:rPr>
      <w:t>Página</w:t>
    </w:r>
    <w:r w:rsidRPr="003558E5">
      <w:rPr>
        <w:rFonts w:ascii="gobCL" w:hAnsi="gobCL"/>
        <w:sz w:val="20"/>
        <w:szCs w:val="20"/>
        <w:lang w:val="es-ES"/>
      </w:rPr>
      <w:t xml:space="preserve"> </w:t>
    </w:r>
    <w:r w:rsidRPr="003558E5">
      <w:rPr>
        <w:rFonts w:ascii="gobCL" w:hAnsi="gobCL"/>
        <w:sz w:val="20"/>
        <w:szCs w:val="20"/>
      </w:rPr>
      <w:fldChar w:fldCharType="begin"/>
    </w:r>
    <w:r w:rsidRPr="003558E5">
      <w:rPr>
        <w:rFonts w:ascii="gobCL" w:hAnsi="gobCL"/>
        <w:sz w:val="20"/>
        <w:szCs w:val="20"/>
      </w:rPr>
      <w:instrText>PAGE   \* MERGEFORMAT</w:instrText>
    </w:r>
    <w:r w:rsidRPr="003558E5">
      <w:rPr>
        <w:rFonts w:ascii="gobCL" w:hAnsi="gobCL"/>
        <w:sz w:val="20"/>
        <w:szCs w:val="20"/>
      </w:rPr>
      <w:fldChar w:fldCharType="separate"/>
    </w:r>
    <w:r w:rsidRPr="003558E5">
      <w:rPr>
        <w:rFonts w:ascii="gobCL" w:hAnsi="gobCL"/>
        <w:sz w:val="20"/>
        <w:szCs w:val="20"/>
        <w:lang w:val="es-ES"/>
      </w:rPr>
      <w:t>1</w:t>
    </w:r>
    <w:r w:rsidRPr="003558E5">
      <w:rPr>
        <w:rFonts w:ascii="gobCL" w:hAnsi="gobCL"/>
        <w:sz w:val="20"/>
        <w:szCs w:val="20"/>
      </w:rPr>
      <w:fldChar w:fldCharType="end"/>
    </w:r>
    <w:r w:rsidRPr="003558E5">
      <w:rPr>
        <w:rFonts w:ascii="gobCL" w:hAnsi="gobCL"/>
        <w:sz w:val="20"/>
        <w:szCs w:val="20"/>
        <w:lang w:val="es-ES"/>
      </w:rPr>
      <w:t xml:space="preserve"> | </w:t>
    </w:r>
    <w:r w:rsidRPr="003558E5">
      <w:rPr>
        <w:rFonts w:ascii="gobCL" w:hAnsi="gobCL"/>
        <w:sz w:val="20"/>
        <w:szCs w:val="20"/>
      </w:rPr>
      <w:fldChar w:fldCharType="begin"/>
    </w:r>
    <w:r w:rsidRPr="003558E5">
      <w:rPr>
        <w:rFonts w:ascii="gobCL" w:hAnsi="gobCL"/>
        <w:sz w:val="20"/>
        <w:szCs w:val="20"/>
      </w:rPr>
      <w:instrText>NUMPAGES  \* Arabic  \* MERGEFORMAT</w:instrText>
    </w:r>
    <w:r w:rsidRPr="003558E5">
      <w:rPr>
        <w:rFonts w:ascii="gobCL" w:hAnsi="gobCL"/>
        <w:sz w:val="20"/>
        <w:szCs w:val="20"/>
      </w:rPr>
      <w:fldChar w:fldCharType="separate"/>
    </w:r>
    <w:r w:rsidRPr="003558E5">
      <w:rPr>
        <w:rFonts w:ascii="gobCL" w:hAnsi="gobCL"/>
        <w:sz w:val="20"/>
        <w:szCs w:val="20"/>
        <w:lang w:val="es-ES"/>
      </w:rPr>
      <w:t>1</w:t>
    </w:r>
    <w:r w:rsidRPr="003558E5">
      <w:rPr>
        <w:rFonts w:ascii="gobCL" w:hAnsi="gobCL"/>
        <w:sz w:val="20"/>
        <w:szCs w:val="20"/>
      </w:rPr>
      <w:fldChar w:fldCharType="end"/>
    </w:r>
  </w:p>
  <w:p w:rsidR="003558E5" w:rsidRDefault="003558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8E5" w:rsidRDefault="003558E5" w:rsidP="003558E5">
      <w:r>
        <w:separator/>
      </w:r>
    </w:p>
  </w:footnote>
  <w:footnote w:type="continuationSeparator" w:id="0">
    <w:p w:rsidR="003558E5" w:rsidRDefault="003558E5" w:rsidP="00355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75E8"/>
    <w:multiLevelType w:val="multilevel"/>
    <w:tmpl w:val="143C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F497F"/>
    <w:multiLevelType w:val="multilevel"/>
    <w:tmpl w:val="A076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AB0913"/>
    <w:multiLevelType w:val="multilevel"/>
    <w:tmpl w:val="C33E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B8776D"/>
    <w:multiLevelType w:val="multilevel"/>
    <w:tmpl w:val="AA28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BA"/>
    <w:rsid w:val="00000C1F"/>
    <w:rsid w:val="003558E5"/>
    <w:rsid w:val="00585FBA"/>
    <w:rsid w:val="00620644"/>
    <w:rsid w:val="00953B66"/>
    <w:rsid w:val="00BE780F"/>
    <w:rsid w:val="00DC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EAD204"/>
  <w15:chartTrackingRefBased/>
  <w15:docId w15:val="{F0E23FE8-E866-4E3A-9311-B5709BB9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BA"/>
    <w:pPr>
      <w:spacing w:after="0" w:line="240" w:lineRule="auto"/>
    </w:pPr>
    <w:rPr>
      <w:rFonts w:ascii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85FBA"/>
    <w:rPr>
      <w:color w:val="0000FF"/>
      <w:u w:val="single"/>
    </w:rPr>
  </w:style>
  <w:style w:type="paragraph" w:customStyle="1" w:styleId="xmsonormal">
    <w:name w:val="x_msonormal"/>
    <w:basedOn w:val="Normal"/>
    <w:rsid w:val="00620644"/>
  </w:style>
  <w:style w:type="character" w:customStyle="1" w:styleId="contentpasted0">
    <w:name w:val="contentpasted0"/>
    <w:basedOn w:val="Fuentedeprrafopredeter"/>
    <w:rsid w:val="00620644"/>
  </w:style>
  <w:style w:type="character" w:customStyle="1" w:styleId="xcontentpasted0">
    <w:name w:val="x_contentpasted0"/>
    <w:basedOn w:val="Fuentedeprrafopredeter"/>
    <w:rsid w:val="00620644"/>
  </w:style>
  <w:style w:type="paragraph" w:styleId="Encabezado">
    <w:name w:val="header"/>
    <w:basedOn w:val="Normal"/>
    <w:link w:val="EncabezadoCar"/>
    <w:uiPriority w:val="99"/>
    <w:unhideWhenUsed/>
    <w:rsid w:val="003558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8E5"/>
    <w:rPr>
      <w:rFonts w:ascii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3558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8E5"/>
    <w:rPr>
      <w:rFonts w:ascii="Calibri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bastapublica@subpesca.c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lb4j7wp01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cid:ii_lb4i7v4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869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Ortiz</dc:creator>
  <cp:keywords/>
  <dc:description/>
  <cp:lastModifiedBy>Francisco Ortiz</cp:lastModifiedBy>
  <cp:revision>4</cp:revision>
  <cp:lastPrinted>2022-12-02T13:38:00Z</cp:lastPrinted>
  <dcterms:created xsi:type="dcterms:W3CDTF">2022-12-02T12:14:00Z</dcterms:created>
  <dcterms:modified xsi:type="dcterms:W3CDTF">2022-12-02T14:33:00Z</dcterms:modified>
</cp:coreProperties>
</file>