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77" w:rsidRPr="009730F6" w:rsidRDefault="00B64377" w:rsidP="008D3193">
      <w:pPr>
        <w:spacing w:after="0" w:line="240" w:lineRule="auto"/>
        <w:jc w:val="both"/>
        <w:rPr>
          <w:rFonts w:ascii="gobCL" w:hAnsi="gobCL"/>
          <w:b/>
          <w:sz w:val="24"/>
          <w:szCs w:val="24"/>
          <w:u w:val="single"/>
          <w:lang w:eastAsia="es-CL"/>
        </w:rPr>
      </w:pPr>
      <w:bookmarkStart w:id="0" w:name="_GoBack"/>
      <w:bookmarkEnd w:id="0"/>
      <w:r w:rsidRPr="009730F6">
        <w:rPr>
          <w:rFonts w:ascii="gobCL" w:hAnsi="gobCL"/>
          <w:b/>
          <w:sz w:val="24"/>
          <w:szCs w:val="24"/>
          <w:u w:val="single"/>
          <w:lang w:eastAsia="es-CL"/>
        </w:rPr>
        <w:t xml:space="preserve">ACLARACIONES A BASES ADMINISTRATIVAS SUBASTA LICENCIA TRANSABLE DE PESCA </w:t>
      </w:r>
    </w:p>
    <w:p w:rsidR="00B64377" w:rsidRPr="009730F6" w:rsidRDefault="00B64377" w:rsidP="008D3193">
      <w:pPr>
        <w:spacing w:line="240" w:lineRule="auto"/>
        <w:jc w:val="both"/>
        <w:rPr>
          <w:rFonts w:ascii="gobCL" w:hAnsi="gobCL"/>
          <w:b/>
          <w:sz w:val="24"/>
          <w:szCs w:val="24"/>
          <w:lang w:eastAsia="es-CL"/>
        </w:rPr>
      </w:pPr>
    </w:p>
    <w:p w:rsidR="00B64377" w:rsidRDefault="00B64377" w:rsidP="008D3193">
      <w:pPr>
        <w:spacing w:line="240" w:lineRule="auto"/>
        <w:jc w:val="both"/>
        <w:rPr>
          <w:rFonts w:ascii="gobCL" w:hAnsi="gobCL"/>
          <w:b/>
          <w:sz w:val="24"/>
          <w:szCs w:val="24"/>
          <w:lang w:eastAsia="es-CL"/>
        </w:rPr>
      </w:pPr>
      <w:r w:rsidRPr="009730F6">
        <w:rPr>
          <w:rFonts w:ascii="gobCL" w:hAnsi="gobCL"/>
          <w:b/>
          <w:sz w:val="24"/>
          <w:szCs w:val="24"/>
          <w:lang w:eastAsia="es-CL"/>
        </w:rPr>
        <w:t xml:space="preserve">Aclaraciones a las bases dirigidas al correo electrónico </w:t>
      </w:r>
      <w:hyperlink r:id="rId7" w:history="1">
        <w:r w:rsidRPr="009730F6">
          <w:rPr>
            <w:rFonts w:ascii="gobCL" w:hAnsi="gobCL"/>
            <w:b/>
            <w:sz w:val="24"/>
            <w:szCs w:val="24"/>
            <w:lang w:eastAsia="es-CL"/>
          </w:rPr>
          <w:t>subastapublica@subpesca.cl</w:t>
        </w:r>
      </w:hyperlink>
      <w:r w:rsidRPr="009730F6">
        <w:rPr>
          <w:rFonts w:ascii="gobCL" w:hAnsi="gobCL"/>
          <w:b/>
          <w:sz w:val="24"/>
          <w:szCs w:val="24"/>
          <w:lang w:eastAsia="es-CL"/>
        </w:rPr>
        <w:t xml:space="preserve"> a la fecha de </w:t>
      </w:r>
      <w:r w:rsidR="0031034D">
        <w:rPr>
          <w:rFonts w:ascii="gobCL" w:hAnsi="gobCL"/>
          <w:b/>
          <w:sz w:val="24"/>
          <w:szCs w:val="24"/>
          <w:lang w:eastAsia="es-CL"/>
        </w:rPr>
        <w:t>09</w:t>
      </w:r>
      <w:r w:rsidRPr="009730F6">
        <w:rPr>
          <w:rFonts w:ascii="gobCL" w:hAnsi="gobCL"/>
          <w:b/>
          <w:sz w:val="24"/>
          <w:szCs w:val="24"/>
          <w:lang w:eastAsia="es-CL"/>
        </w:rPr>
        <w:t xml:space="preserve"> </w:t>
      </w:r>
      <w:r w:rsidR="00BC2FF9">
        <w:rPr>
          <w:rFonts w:ascii="gobCL" w:hAnsi="gobCL"/>
          <w:b/>
          <w:sz w:val="24"/>
          <w:szCs w:val="24"/>
          <w:lang w:eastAsia="es-CL"/>
        </w:rPr>
        <w:t>diciembre</w:t>
      </w:r>
      <w:r w:rsidRPr="009730F6">
        <w:rPr>
          <w:rFonts w:ascii="gobCL" w:hAnsi="gobCL"/>
          <w:b/>
          <w:sz w:val="24"/>
          <w:szCs w:val="24"/>
          <w:lang w:eastAsia="es-CL"/>
        </w:rPr>
        <w:t xml:space="preserve"> de 20</w:t>
      </w:r>
      <w:r>
        <w:rPr>
          <w:rFonts w:ascii="gobCL" w:hAnsi="gobCL"/>
          <w:b/>
          <w:sz w:val="24"/>
          <w:szCs w:val="24"/>
          <w:lang w:eastAsia="es-CL"/>
        </w:rPr>
        <w:t>2</w:t>
      </w:r>
      <w:r w:rsidR="0031034D">
        <w:rPr>
          <w:rFonts w:ascii="gobCL" w:hAnsi="gobCL"/>
          <w:b/>
          <w:sz w:val="24"/>
          <w:szCs w:val="24"/>
          <w:lang w:eastAsia="es-CL"/>
        </w:rPr>
        <w:t>2</w:t>
      </w:r>
      <w:r w:rsidRPr="009730F6">
        <w:rPr>
          <w:rFonts w:ascii="gobCL" w:hAnsi="gobCL"/>
          <w:b/>
          <w:sz w:val="24"/>
          <w:szCs w:val="24"/>
          <w:lang w:eastAsia="es-CL"/>
        </w:rPr>
        <w:t xml:space="preserve">, según el orden de llegada y dentro del plazo de </w:t>
      </w:r>
      <w:r>
        <w:rPr>
          <w:rFonts w:ascii="gobCL" w:hAnsi="gobCL"/>
          <w:b/>
          <w:sz w:val="24"/>
          <w:szCs w:val="24"/>
          <w:lang w:eastAsia="es-CL"/>
        </w:rPr>
        <w:t>3 día hábiles</w:t>
      </w:r>
      <w:r w:rsidRPr="009730F6">
        <w:rPr>
          <w:rFonts w:ascii="gobCL" w:hAnsi="gobCL"/>
          <w:b/>
          <w:sz w:val="24"/>
          <w:szCs w:val="24"/>
          <w:lang w:eastAsia="es-CL"/>
        </w:rPr>
        <w:t xml:space="preserve"> </w:t>
      </w:r>
      <w:r>
        <w:rPr>
          <w:rFonts w:ascii="gobCL" w:hAnsi="gobCL"/>
          <w:b/>
          <w:sz w:val="24"/>
          <w:szCs w:val="24"/>
          <w:lang w:eastAsia="es-CL"/>
        </w:rPr>
        <w:t>administrativos.</w:t>
      </w:r>
    </w:p>
    <w:p w:rsidR="008D3193" w:rsidRPr="0031034D" w:rsidRDefault="008D3193" w:rsidP="0031034D">
      <w:pPr>
        <w:spacing w:line="240" w:lineRule="auto"/>
        <w:jc w:val="both"/>
        <w:rPr>
          <w:rFonts w:ascii="gobCL" w:hAnsi="gobCL"/>
          <w:b/>
          <w:sz w:val="24"/>
          <w:szCs w:val="24"/>
          <w:lang w:eastAsia="es-CL"/>
        </w:rPr>
      </w:pPr>
    </w:p>
    <w:p w:rsidR="0031034D" w:rsidRPr="0031034D" w:rsidRDefault="0031034D" w:rsidP="0031034D">
      <w:pPr>
        <w:pStyle w:val="Textosinformato"/>
        <w:jc w:val="both"/>
        <w:rPr>
          <w:rFonts w:ascii="gobCL" w:hAnsi="gobCL"/>
        </w:rPr>
      </w:pPr>
      <w:r w:rsidRPr="0031034D">
        <w:rPr>
          <w:rFonts w:ascii="gobCL" w:hAnsi="gobCL"/>
        </w:rPr>
        <w:t>1.- Considerando las experiencias previas en Subastas, en las cuales se autorizaba el envío de los Sobres vía correo CONSULTO:</w:t>
      </w:r>
    </w:p>
    <w:p w:rsidR="0031034D" w:rsidRPr="0031034D" w:rsidRDefault="0031034D" w:rsidP="0031034D">
      <w:pPr>
        <w:pStyle w:val="Textosinformato"/>
        <w:jc w:val="both"/>
        <w:rPr>
          <w:rFonts w:ascii="gobCL" w:hAnsi="gobCL"/>
        </w:rPr>
      </w:pPr>
    </w:p>
    <w:p w:rsidR="0031034D" w:rsidRPr="0031034D" w:rsidRDefault="0031034D" w:rsidP="0031034D">
      <w:pPr>
        <w:pStyle w:val="Textosinformato"/>
        <w:jc w:val="both"/>
        <w:rPr>
          <w:rFonts w:ascii="gobCL" w:hAnsi="gobCL"/>
        </w:rPr>
      </w:pPr>
      <w:r w:rsidRPr="0031034D">
        <w:rPr>
          <w:rFonts w:ascii="gobCL" w:hAnsi="gobCL"/>
        </w:rPr>
        <w:t xml:space="preserve">Es posible enviar por correo certificado; ¿vía Chilexpress o Correos de Chile los sobres para participar en las subastas? </w:t>
      </w:r>
    </w:p>
    <w:p w:rsidR="0031034D" w:rsidRPr="0031034D" w:rsidRDefault="0031034D" w:rsidP="0031034D">
      <w:pPr>
        <w:pStyle w:val="Textosinformato"/>
        <w:jc w:val="both"/>
        <w:rPr>
          <w:rFonts w:ascii="gobCL" w:hAnsi="gobCL"/>
        </w:rPr>
      </w:pPr>
    </w:p>
    <w:p w:rsidR="0031034D" w:rsidRDefault="0031034D" w:rsidP="0031034D">
      <w:pPr>
        <w:pStyle w:val="Textosinformato"/>
        <w:jc w:val="both"/>
        <w:rPr>
          <w:rFonts w:ascii="gobCL" w:hAnsi="gobCL"/>
        </w:rPr>
      </w:pPr>
      <w:r>
        <w:rPr>
          <w:rFonts w:ascii="gobCL" w:hAnsi="gobCL"/>
        </w:rPr>
        <w:t>¿Es decir, enviar desde correos o Chilexpress de ciudades remotas como Arica o Concepción, los sobres destinados a la oficina de partes en tiempo y forma, según lo establecen las bases?</w:t>
      </w:r>
    </w:p>
    <w:p w:rsidR="0031034D" w:rsidRDefault="0031034D" w:rsidP="0031034D">
      <w:pPr>
        <w:pStyle w:val="Textosinformato"/>
        <w:jc w:val="both"/>
        <w:rPr>
          <w:rFonts w:ascii="gobCL" w:hAnsi="gobCL"/>
        </w:rPr>
      </w:pPr>
    </w:p>
    <w:p w:rsidR="0031034D" w:rsidRDefault="0031034D" w:rsidP="0031034D">
      <w:pPr>
        <w:pStyle w:val="Textosinformato"/>
        <w:jc w:val="both"/>
        <w:rPr>
          <w:rFonts w:ascii="gobCL" w:hAnsi="gobCL"/>
          <w:b/>
          <w:bCs/>
          <w:color w:val="1F3864" w:themeColor="accent1" w:themeShade="80"/>
        </w:rPr>
      </w:pPr>
      <w:r w:rsidRPr="0031034D">
        <w:rPr>
          <w:rFonts w:ascii="gobCL" w:hAnsi="gobCL"/>
          <w:b/>
          <w:bCs/>
          <w:color w:val="1F3864" w:themeColor="accent1" w:themeShade="80"/>
        </w:rPr>
        <w:t xml:space="preserve">Sí es posible, </w:t>
      </w:r>
      <w:r>
        <w:rPr>
          <w:rFonts w:ascii="gobCL" w:hAnsi="gobCL"/>
          <w:b/>
          <w:bCs/>
          <w:color w:val="1F3864" w:themeColor="accent1" w:themeShade="80"/>
        </w:rPr>
        <w:t>dando</w:t>
      </w:r>
      <w:r w:rsidRPr="0031034D">
        <w:rPr>
          <w:rFonts w:ascii="gobCL" w:hAnsi="gobCL"/>
          <w:b/>
          <w:bCs/>
          <w:color w:val="1F3864" w:themeColor="accent1" w:themeShade="80"/>
        </w:rPr>
        <w:t xml:space="preserve"> cumpl</w:t>
      </w:r>
      <w:r>
        <w:rPr>
          <w:rFonts w:ascii="gobCL" w:hAnsi="gobCL"/>
          <w:b/>
          <w:bCs/>
          <w:color w:val="1F3864" w:themeColor="accent1" w:themeShade="80"/>
        </w:rPr>
        <w:t>imiento</w:t>
      </w:r>
      <w:r w:rsidRPr="0031034D">
        <w:rPr>
          <w:rFonts w:ascii="gobCL" w:hAnsi="gobCL"/>
          <w:b/>
          <w:bCs/>
          <w:color w:val="1F3864" w:themeColor="accent1" w:themeShade="80"/>
        </w:rPr>
        <w:t xml:space="preserve"> con el plazo y hora indicado en las bases administrativas respectivas.</w:t>
      </w:r>
    </w:p>
    <w:p w:rsidR="00B37AEC" w:rsidRPr="0031034D" w:rsidRDefault="00B37AEC" w:rsidP="0031034D">
      <w:pPr>
        <w:pStyle w:val="Textosinformato"/>
        <w:jc w:val="both"/>
        <w:rPr>
          <w:rFonts w:ascii="gobCL" w:hAnsi="gobCL"/>
          <w:b/>
          <w:bCs/>
          <w:color w:val="1F3864" w:themeColor="accent1" w:themeShade="80"/>
        </w:rPr>
      </w:pPr>
    </w:p>
    <w:p w:rsidR="00B37AEC" w:rsidRPr="000B76C6" w:rsidRDefault="00B37AEC" w:rsidP="000B76C6">
      <w:pPr>
        <w:spacing w:line="240" w:lineRule="auto"/>
        <w:jc w:val="both"/>
        <w:rPr>
          <w:rFonts w:ascii="gobCL" w:hAnsi="gobCL"/>
          <w:bCs/>
          <w:sz w:val="24"/>
          <w:szCs w:val="24"/>
          <w:lang w:eastAsia="es-CL"/>
        </w:rPr>
      </w:pPr>
      <w:r w:rsidRPr="000B76C6">
        <w:rPr>
          <w:rFonts w:ascii="gobCL" w:hAnsi="gobCL"/>
          <w:bCs/>
          <w:sz w:val="24"/>
          <w:szCs w:val="24"/>
          <w:lang w:eastAsia="es-CL"/>
        </w:rPr>
        <w:t xml:space="preserve">2.- Considerando que el artículo 12 establece que ningún oferente podrá adjudicarse más de un 40% de la cuota a subastar, y que en el artículo 5 (Lotes) se presentan las tablas con lotes a subastar. Donde en el caso de la tabla </w:t>
      </w:r>
      <w:proofErr w:type="spellStart"/>
      <w:r w:rsidRPr="000B76C6">
        <w:rPr>
          <w:rFonts w:ascii="gobCL" w:hAnsi="gobCL"/>
          <w:bCs/>
          <w:sz w:val="24"/>
          <w:szCs w:val="24"/>
          <w:lang w:eastAsia="es-CL"/>
        </w:rPr>
        <w:t>Nro</w:t>
      </w:r>
      <w:proofErr w:type="spellEnd"/>
      <w:r w:rsidRPr="000B76C6">
        <w:rPr>
          <w:rFonts w:ascii="gobCL" w:hAnsi="gobCL"/>
          <w:bCs/>
          <w:sz w:val="24"/>
          <w:szCs w:val="24"/>
          <w:lang w:eastAsia="es-CL"/>
        </w:rPr>
        <w:t xml:space="preserve"> III solo se presenta un Lote, consulto:</w:t>
      </w:r>
    </w:p>
    <w:p w:rsidR="00B37AEC" w:rsidRPr="000B76C6" w:rsidRDefault="00B37AEC" w:rsidP="000B76C6">
      <w:pPr>
        <w:spacing w:line="240" w:lineRule="auto"/>
        <w:jc w:val="both"/>
        <w:rPr>
          <w:rFonts w:ascii="gobCL" w:hAnsi="gobCL"/>
          <w:bCs/>
          <w:sz w:val="24"/>
          <w:szCs w:val="24"/>
          <w:lang w:eastAsia="es-CL"/>
        </w:rPr>
      </w:pPr>
    </w:p>
    <w:p w:rsidR="00B37AEC" w:rsidRPr="000B76C6" w:rsidRDefault="00B37AEC" w:rsidP="000B76C6">
      <w:pPr>
        <w:spacing w:line="240" w:lineRule="auto"/>
        <w:jc w:val="both"/>
        <w:rPr>
          <w:rFonts w:ascii="gobCL" w:hAnsi="gobCL"/>
          <w:bCs/>
          <w:sz w:val="24"/>
          <w:szCs w:val="24"/>
          <w:lang w:eastAsia="es-CL"/>
        </w:rPr>
      </w:pPr>
      <w:r w:rsidRPr="000B76C6">
        <w:rPr>
          <w:rFonts w:ascii="gobCL" w:hAnsi="gobCL"/>
          <w:bCs/>
          <w:sz w:val="24"/>
          <w:szCs w:val="24"/>
          <w:lang w:eastAsia="es-CL"/>
        </w:rPr>
        <w:t xml:space="preserve">Dicho lote constituye un 100% de la cuota a licitar o dicho lote representa un 40% de la </w:t>
      </w:r>
      <w:proofErr w:type="gramStart"/>
      <w:r w:rsidRPr="000B76C6">
        <w:rPr>
          <w:rFonts w:ascii="gobCL" w:hAnsi="gobCL"/>
          <w:bCs/>
          <w:sz w:val="24"/>
          <w:szCs w:val="24"/>
          <w:lang w:eastAsia="es-CL"/>
        </w:rPr>
        <w:t>cuota a licitar</w:t>
      </w:r>
      <w:proofErr w:type="gramEnd"/>
      <w:r w:rsidRPr="000B76C6">
        <w:rPr>
          <w:rFonts w:ascii="gobCL" w:hAnsi="gobCL"/>
          <w:bCs/>
          <w:sz w:val="24"/>
          <w:szCs w:val="24"/>
          <w:lang w:eastAsia="es-CL"/>
        </w:rPr>
        <w:t xml:space="preserve"> o bien al tratarse de un solo lote está restricción del Art 12 No aplicaría.</w:t>
      </w:r>
    </w:p>
    <w:p w:rsidR="00E84EE4" w:rsidRDefault="00E84EE4" w:rsidP="000B76C6">
      <w:pPr>
        <w:pStyle w:val="Textosinformato"/>
        <w:jc w:val="both"/>
        <w:rPr>
          <w:rFonts w:ascii="gobCL" w:hAnsi="gobCL"/>
          <w:b/>
          <w:bCs/>
          <w:color w:val="1F3864" w:themeColor="accent1" w:themeShade="80"/>
        </w:rPr>
      </w:pPr>
    </w:p>
    <w:p w:rsidR="00E84EE4" w:rsidRPr="00923006" w:rsidRDefault="00E84EE4" w:rsidP="00E84EE4">
      <w:pPr>
        <w:pStyle w:val="Textosinformato"/>
        <w:jc w:val="both"/>
        <w:rPr>
          <w:rFonts w:ascii="gobCL" w:hAnsi="gobCL"/>
          <w:b/>
          <w:bCs/>
          <w:color w:val="1F3864" w:themeColor="accent1" w:themeShade="80"/>
        </w:rPr>
      </w:pPr>
      <w:r>
        <w:rPr>
          <w:rFonts w:ascii="gobCL" w:hAnsi="gobCL"/>
          <w:b/>
          <w:bCs/>
          <w:color w:val="1F3864" w:themeColor="accent1" w:themeShade="80"/>
        </w:rPr>
        <w:t xml:space="preserve">Se debe tener presente que ese 40% es por el total a subastar de la licitación de </w:t>
      </w:r>
      <w:r w:rsidRPr="00923006">
        <w:rPr>
          <w:rFonts w:ascii="gobCL" w:hAnsi="gobCL"/>
          <w:b/>
          <w:bCs/>
          <w:color w:val="1F3864" w:themeColor="accent1" w:themeShade="80"/>
        </w:rPr>
        <w:t xml:space="preserve">congrio dorado en su unidad de pesquería comprendida entre los paralelos 41° 28,6’ al 47° </w:t>
      </w:r>
      <w:proofErr w:type="spellStart"/>
      <w:r w:rsidRPr="00923006">
        <w:rPr>
          <w:rFonts w:ascii="gobCL" w:hAnsi="gobCL"/>
          <w:b/>
          <w:bCs/>
          <w:color w:val="1F3864" w:themeColor="accent1" w:themeShade="80"/>
        </w:rPr>
        <w:t>LS</w:t>
      </w:r>
      <w:proofErr w:type="spellEnd"/>
      <w:r>
        <w:rPr>
          <w:rFonts w:ascii="gobCL" w:hAnsi="gobCL"/>
          <w:b/>
          <w:bCs/>
          <w:color w:val="1F3864" w:themeColor="accent1" w:themeShade="80"/>
        </w:rPr>
        <w:t xml:space="preserve"> efectuada c</w:t>
      </w:r>
      <w:r w:rsidRPr="00923006">
        <w:rPr>
          <w:rFonts w:ascii="gobCL" w:hAnsi="gobCL"/>
          <w:b/>
          <w:bCs/>
          <w:color w:val="1F3864" w:themeColor="accent1" w:themeShade="80"/>
        </w:rPr>
        <w:t>on fecha 18 de diciembre de 2018</w:t>
      </w:r>
      <w:r>
        <w:rPr>
          <w:rFonts w:ascii="gobCL" w:hAnsi="gobCL"/>
          <w:b/>
          <w:bCs/>
          <w:color w:val="1F3864" w:themeColor="accent1" w:themeShade="80"/>
        </w:rPr>
        <w:t xml:space="preserve">, donde </w:t>
      </w:r>
      <w:r w:rsidRPr="00923006">
        <w:rPr>
          <w:rFonts w:ascii="gobCL" w:hAnsi="gobCL"/>
          <w:b/>
          <w:bCs/>
          <w:color w:val="1F3864" w:themeColor="accent1" w:themeShade="80"/>
        </w:rPr>
        <w:t xml:space="preserve">consta en acta de apertura de sobre N°2 y N°3, </w:t>
      </w:r>
      <w:r>
        <w:rPr>
          <w:rFonts w:ascii="gobCL" w:hAnsi="gobCL"/>
          <w:b/>
          <w:bCs/>
          <w:color w:val="1F3864" w:themeColor="accent1" w:themeShade="80"/>
        </w:rPr>
        <w:t xml:space="preserve">que </w:t>
      </w:r>
      <w:r w:rsidRPr="00923006">
        <w:rPr>
          <w:rFonts w:ascii="gobCL" w:hAnsi="gobCL"/>
          <w:b/>
          <w:bCs/>
          <w:color w:val="1F3864" w:themeColor="accent1" w:themeShade="80"/>
        </w:rPr>
        <w:t xml:space="preserve">el Sr. Marco Antonio Salinas Carrasco se adjudicó el lote </w:t>
      </w:r>
      <w:proofErr w:type="spellStart"/>
      <w:r w:rsidRPr="00923006">
        <w:rPr>
          <w:rFonts w:ascii="gobCL" w:hAnsi="gobCL"/>
          <w:b/>
          <w:bCs/>
          <w:color w:val="1F3864" w:themeColor="accent1" w:themeShade="80"/>
        </w:rPr>
        <w:t>N°</w:t>
      </w:r>
      <w:proofErr w:type="spellEnd"/>
      <w:r w:rsidRPr="00923006">
        <w:rPr>
          <w:rFonts w:ascii="gobCL" w:hAnsi="gobCL"/>
          <w:b/>
          <w:bCs/>
          <w:color w:val="1F3864" w:themeColor="accent1" w:themeShade="80"/>
        </w:rPr>
        <w:t xml:space="preserve"> 4 de 12,5%. </w:t>
      </w:r>
      <w:r>
        <w:rPr>
          <w:rFonts w:ascii="gobCL" w:hAnsi="gobCL"/>
          <w:b/>
          <w:bCs/>
          <w:color w:val="1F3864" w:themeColor="accent1" w:themeShade="80"/>
        </w:rPr>
        <w:t>(lote caducado y nuevamente subastado).</w:t>
      </w:r>
    </w:p>
    <w:p w:rsidR="00E84EE4" w:rsidRDefault="00E84EE4" w:rsidP="000B76C6">
      <w:pPr>
        <w:pStyle w:val="Textosinformato"/>
        <w:jc w:val="both"/>
        <w:rPr>
          <w:rFonts w:ascii="gobCL" w:hAnsi="gobCL"/>
          <w:b/>
          <w:bCs/>
          <w:color w:val="1F3864" w:themeColor="accent1" w:themeShade="80"/>
        </w:rPr>
      </w:pPr>
    </w:p>
    <w:p w:rsidR="00B37AEC" w:rsidRDefault="00E84EE4" w:rsidP="000B76C6">
      <w:pPr>
        <w:pStyle w:val="Textosinformato"/>
        <w:jc w:val="both"/>
        <w:rPr>
          <w:rFonts w:ascii="gobCL" w:hAnsi="gobCL"/>
          <w:b/>
          <w:bCs/>
          <w:color w:val="1F3864" w:themeColor="accent1" w:themeShade="80"/>
        </w:rPr>
      </w:pPr>
      <w:r>
        <w:rPr>
          <w:rFonts w:ascii="gobCL" w:hAnsi="gobCL"/>
          <w:b/>
          <w:bCs/>
          <w:color w:val="1F3864" w:themeColor="accent1" w:themeShade="80"/>
        </w:rPr>
        <w:t>Por</w:t>
      </w:r>
      <w:r w:rsidR="000B76C6">
        <w:rPr>
          <w:rFonts w:ascii="gobCL" w:hAnsi="gobCL"/>
          <w:b/>
          <w:bCs/>
          <w:color w:val="1F3864" w:themeColor="accent1" w:themeShade="80"/>
        </w:rPr>
        <w:t xml:space="preserve"> lo que </w:t>
      </w:r>
      <w:r w:rsidR="000B76C6" w:rsidRPr="000B76C6">
        <w:rPr>
          <w:rFonts w:ascii="gobCL" w:hAnsi="gobCL"/>
          <w:b/>
          <w:bCs/>
          <w:color w:val="1F3864" w:themeColor="accent1" w:themeShade="80"/>
        </w:rPr>
        <w:t>ningún oferente podrá adjudicarse más del 40% de la cuota sujeta a subastar ya sea directamente o a través de terceras personas naturales o jurídicas con las que se relacione como filial, matriz, coligada o coligante</w:t>
      </w:r>
      <w:r w:rsidR="000B76C6">
        <w:rPr>
          <w:rFonts w:ascii="gobCL" w:hAnsi="gobCL"/>
          <w:b/>
          <w:bCs/>
          <w:color w:val="1F3864" w:themeColor="accent1" w:themeShade="80"/>
        </w:rPr>
        <w:t>.</w:t>
      </w:r>
    </w:p>
    <w:p w:rsidR="00B37AEC" w:rsidRPr="000B76C6" w:rsidRDefault="00B37AEC" w:rsidP="000B76C6">
      <w:pPr>
        <w:spacing w:line="240" w:lineRule="auto"/>
        <w:jc w:val="both"/>
        <w:rPr>
          <w:rFonts w:ascii="gobCL" w:hAnsi="gobCL"/>
          <w:bCs/>
          <w:sz w:val="24"/>
          <w:szCs w:val="24"/>
          <w:lang w:eastAsia="es-CL"/>
        </w:rPr>
      </w:pPr>
    </w:p>
    <w:p w:rsidR="00B37AEC" w:rsidRPr="000B76C6" w:rsidRDefault="00E84EE4" w:rsidP="000B76C6">
      <w:pPr>
        <w:spacing w:line="240" w:lineRule="auto"/>
        <w:jc w:val="both"/>
        <w:rPr>
          <w:rFonts w:ascii="gobCL" w:hAnsi="gobCL"/>
          <w:bCs/>
          <w:sz w:val="24"/>
          <w:szCs w:val="24"/>
          <w:lang w:eastAsia="es-CL"/>
        </w:rPr>
      </w:pPr>
      <w:r>
        <w:rPr>
          <w:rFonts w:ascii="gobCL" w:hAnsi="gobCL"/>
          <w:bCs/>
          <w:sz w:val="24"/>
          <w:szCs w:val="24"/>
          <w:lang w:eastAsia="es-CL"/>
        </w:rPr>
        <w:t>3</w:t>
      </w:r>
      <w:r w:rsidR="00B37AEC" w:rsidRPr="000B76C6">
        <w:rPr>
          <w:rFonts w:ascii="gobCL" w:hAnsi="gobCL"/>
          <w:bCs/>
          <w:sz w:val="24"/>
          <w:szCs w:val="24"/>
          <w:lang w:eastAsia="es-CL"/>
        </w:rPr>
        <w:t xml:space="preserve">.- Si un oferente no quisiera presentar un tercer sobre de desempate, y sólo presenta los sobres </w:t>
      </w:r>
      <w:proofErr w:type="spellStart"/>
      <w:r w:rsidR="00B37AEC" w:rsidRPr="000B76C6">
        <w:rPr>
          <w:rFonts w:ascii="gobCL" w:hAnsi="gobCL"/>
          <w:bCs/>
          <w:sz w:val="24"/>
          <w:szCs w:val="24"/>
          <w:lang w:eastAsia="es-CL"/>
        </w:rPr>
        <w:t>Nro</w:t>
      </w:r>
      <w:proofErr w:type="spellEnd"/>
      <w:r w:rsidR="00B37AEC" w:rsidRPr="000B76C6">
        <w:rPr>
          <w:rFonts w:ascii="gobCL" w:hAnsi="gobCL"/>
          <w:bCs/>
          <w:sz w:val="24"/>
          <w:szCs w:val="24"/>
          <w:lang w:eastAsia="es-CL"/>
        </w:rPr>
        <w:t xml:space="preserve"> 1 y </w:t>
      </w:r>
      <w:proofErr w:type="spellStart"/>
      <w:r w:rsidR="00B37AEC" w:rsidRPr="000B76C6">
        <w:rPr>
          <w:rFonts w:ascii="gobCL" w:hAnsi="gobCL"/>
          <w:bCs/>
          <w:sz w:val="24"/>
          <w:szCs w:val="24"/>
          <w:lang w:eastAsia="es-CL"/>
        </w:rPr>
        <w:t>Nro</w:t>
      </w:r>
      <w:proofErr w:type="spellEnd"/>
      <w:r w:rsidR="00B37AEC" w:rsidRPr="000B76C6">
        <w:rPr>
          <w:rFonts w:ascii="gobCL" w:hAnsi="gobCL"/>
          <w:bCs/>
          <w:sz w:val="24"/>
          <w:szCs w:val="24"/>
          <w:lang w:eastAsia="es-CL"/>
        </w:rPr>
        <w:t xml:space="preserve"> 2, serán admitidas o rechazadas estas ofertas.</w:t>
      </w:r>
    </w:p>
    <w:p w:rsidR="00B37AEC" w:rsidRDefault="00B37AEC" w:rsidP="000B76C6">
      <w:pPr>
        <w:spacing w:line="240" w:lineRule="auto"/>
        <w:jc w:val="both"/>
        <w:rPr>
          <w:rFonts w:ascii="gobCL" w:hAnsi="gobCL"/>
          <w:bCs/>
          <w:sz w:val="24"/>
          <w:szCs w:val="24"/>
          <w:lang w:eastAsia="es-CL"/>
        </w:rPr>
      </w:pPr>
      <w:r w:rsidRPr="000B76C6">
        <w:rPr>
          <w:rFonts w:ascii="gobCL" w:hAnsi="gobCL"/>
          <w:bCs/>
          <w:sz w:val="24"/>
          <w:szCs w:val="24"/>
          <w:lang w:eastAsia="es-CL"/>
        </w:rPr>
        <w:t>Es decir, un oferente está obligado a elaborar desempates o es decisión de cada oferente presentar este tercer sobre.</w:t>
      </w:r>
    </w:p>
    <w:p w:rsidR="00923006" w:rsidRPr="00923006" w:rsidRDefault="00923006" w:rsidP="00923006">
      <w:pPr>
        <w:pStyle w:val="Textosinformato"/>
        <w:jc w:val="both"/>
        <w:rPr>
          <w:rFonts w:ascii="gobCL" w:hAnsi="gobCL"/>
          <w:b/>
          <w:bCs/>
          <w:color w:val="1F3864" w:themeColor="accent1" w:themeShade="80"/>
        </w:rPr>
      </w:pPr>
      <w:r w:rsidRPr="00923006">
        <w:rPr>
          <w:rFonts w:ascii="gobCL" w:hAnsi="gobCL"/>
          <w:b/>
          <w:bCs/>
          <w:color w:val="1F3864" w:themeColor="accent1" w:themeShade="80"/>
        </w:rPr>
        <w:t xml:space="preserve">No es un requisito esencial, </w:t>
      </w:r>
      <w:r w:rsidR="00E84EE4">
        <w:rPr>
          <w:rFonts w:ascii="gobCL" w:hAnsi="gobCL"/>
          <w:b/>
          <w:bCs/>
          <w:color w:val="1F3864" w:themeColor="accent1" w:themeShade="80"/>
        </w:rPr>
        <w:t xml:space="preserve">dicho sobre </w:t>
      </w:r>
      <w:r w:rsidRPr="00923006">
        <w:rPr>
          <w:rFonts w:ascii="gobCL" w:hAnsi="gobCL"/>
          <w:b/>
          <w:bCs/>
          <w:color w:val="1F3864" w:themeColor="accent1" w:themeShade="80"/>
        </w:rPr>
        <w:t>solo busca dirimir eventuales empates.</w:t>
      </w:r>
    </w:p>
    <w:p w:rsidR="00B37AEC" w:rsidRPr="000B76C6" w:rsidRDefault="00B37AEC" w:rsidP="000B76C6">
      <w:pPr>
        <w:spacing w:line="240" w:lineRule="auto"/>
        <w:jc w:val="both"/>
        <w:rPr>
          <w:rFonts w:ascii="gobCL" w:hAnsi="gobCL"/>
          <w:bCs/>
          <w:sz w:val="24"/>
          <w:szCs w:val="24"/>
          <w:lang w:eastAsia="es-CL"/>
        </w:rPr>
      </w:pPr>
    </w:p>
    <w:p w:rsidR="00B37AEC" w:rsidRPr="000B76C6" w:rsidRDefault="00E84EE4" w:rsidP="000B76C6">
      <w:pPr>
        <w:spacing w:line="240" w:lineRule="auto"/>
        <w:jc w:val="both"/>
        <w:rPr>
          <w:rFonts w:ascii="gobCL" w:hAnsi="gobCL"/>
          <w:bCs/>
          <w:sz w:val="24"/>
          <w:szCs w:val="24"/>
          <w:lang w:eastAsia="es-CL"/>
        </w:rPr>
      </w:pPr>
      <w:r>
        <w:rPr>
          <w:rFonts w:ascii="gobCL" w:hAnsi="gobCL"/>
          <w:bCs/>
          <w:sz w:val="24"/>
          <w:szCs w:val="24"/>
          <w:lang w:eastAsia="es-CL"/>
        </w:rPr>
        <w:lastRenderedPageBreak/>
        <w:t>4</w:t>
      </w:r>
      <w:r w:rsidR="00B37AEC" w:rsidRPr="000B76C6">
        <w:rPr>
          <w:rFonts w:ascii="gobCL" w:hAnsi="gobCL"/>
          <w:bCs/>
          <w:sz w:val="24"/>
          <w:szCs w:val="24"/>
          <w:lang w:eastAsia="es-CL"/>
        </w:rPr>
        <w:t>.- Respecto al Art 16:</w:t>
      </w:r>
    </w:p>
    <w:p w:rsidR="00B37AEC" w:rsidRPr="000B76C6" w:rsidRDefault="00B37AEC" w:rsidP="000B76C6">
      <w:pPr>
        <w:spacing w:line="240" w:lineRule="auto"/>
        <w:jc w:val="both"/>
        <w:rPr>
          <w:rFonts w:ascii="gobCL" w:hAnsi="gobCL"/>
          <w:bCs/>
          <w:sz w:val="24"/>
          <w:szCs w:val="24"/>
          <w:lang w:eastAsia="es-CL"/>
        </w:rPr>
      </w:pPr>
      <w:r w:rsidRPr="000B76C6">
        <w:rPr>
          <w:rFonts w:ascii="gobCL" w:hAnsi="gobCL"/>
          <w:bCs/>
          <w:sz w:val="24"/>
          <w:szCs w:val="24"/>
          <w:lang w:eastAsia="es-CL"/>
        </w:rPr>
        <w:t>En la letra f) de las bases se establece como una de las obligaciones, la siguiente: “contar con la licencia o permiso de aquellas especies asociadas (fauna acompañante) para ejercer la actividad extractiva que le concede la Licencia Transable de Pesca Clase B, en la proporción establecida por esta Subsecretaría, todo ello en conformidad al artículo 33 de la ley de pesca.</w:t>
      </w:r>
    </w:p>
    <w:p w:rsidR="00B37AEC" w:rsidRPr="000B76C6" w:rsidRDefault="00B37AEC" w:rsidP="000B76C6">
      <w:pPr>
        <w:spacing w:line="240" w:lineRule="auto"/>
        <w:jc w:val="both"/>
        <w:rPr>
          <w:rFonts w:ascii="gobCL" w:hAnsi="gobCL"/>
          <w:bCs/>
          <w:sz w:val="24"/>
          <w:szCs w:val="24"/>
          <w:lang w:eastAsia="es-CL"/>
        </w:rPr>
      </w:pPr>
    </w:p>
    <w:p w:rsidR="00B37AEC" w:rsidRPr="000B76C6" w:rsidRDefault="00B37AEC" w:rsidP="000B76C6">
      <w:pPr>
        <w:spacing w:line="240" w:lineRule="auto"/>
        <w:jc w:val="both"/>
        <w:rPr>
          <w:rFonts w:ascii="gobCL" w:hAnsi="gobCL"/>
          <w:bCs/>
          <w:sz w:val="24"/>
          <w:szCs w:val="24"/>
          <w:lang w:eastAsia="es-CL"/>
        </w:rPr>
      </w:pPr>
      <w:r w:rsidRPr="000B76C6">
        <w:rPr>
          <w:rFonts w:ascii="gobCL" w:hAnsi="gobCL"/>
          <w:bCs/>
          <w:sz w:val="24"/>
          <w:szCs w:val="24"/>
          <w:lang w:eastAsia="es-CL"/>
        </w:rPr>
        <w:t>CONSULTAS:</w:t>
      </w:r>
    </w:p>
    <w:p w:rsidR="00B37AEC" w:rsidRPr="00E84EE4" w:rsidRDefault="00B37AEC" w:rsidP="00E84EE4">
      <w:pPr>
        <w:pStyle w:val="Prrafodelista"/>
        <w:numPr>
          <w:ilvl w:val="0"/>
          <w:numId w:val="10"/>
        </w:numPr>
        <w:spacing w:line="240" w:lineRule="auto"/>
        <w:jc w:val="both"/>
        <w:rPr>
          <w:rFonts w:ascii="gobCL" w:hAnsi="gobCL"/>
          <w:bCs/>
          <w:sz w:val="24"/>
          <w:szCs w:val="24"/>
          <w:lang w:eastAsia="es-CL"/>
        </w:rPr>
      </w:pPr>
      <w:r w:rsidRPr="00E84EE4">
        <w:rPr>
          <w:rFonts w:ascii="gobCL" w:hAnsi="gobCL"/>
          <w:bCs/>
          <w:sz w:val="24"/>
          <w:szCs w:val="24"/>
          <w:lang w:eastAsia="es-CL"/>
        </w:rPr>
        <w:t xml:space="preserve">En consecuencia, atendiendo este requisito u obligación en las bases publicadas y para una empresa pequeña que busca iniciar una nueva actividad económica desde un rubro distinto a la pesca, se observa que se trata de un cerrojo imposible de abrir, toda vez que los únicos actores del sector pesquero que cuentan con Licencias de dicha fauna acompañante o pesquería asociada, son aquellos que la recibieron como un privilegio del Estado de Chile a través de la ley de pesca y sin ella los nuevos entrantes NO podrán jamás salir a pescar. </w:t>
      </w:r>
      <w:r w:rsidR="00E84EE4" w:rsidRPr="00E84EE4">
        <w:rPr>
          <w:rFonts w:ascii="gobCL" w:hAnsi="gobCL"/>
          <w:bCs/>
          <w:sz w:val="24"/>
          <w:szCs w:val="24"/>
          <w:lang w:eastAsia="es-CL"/>
        </w:rPr>
        <w:t>¿O me equivoco?</w:t>
      </w:r>
    </w:p>
    <w:p w:rsidR="00E84EE4" w:rsidRPr="00E84EE4" w:rsidRDefault="00E84EE4" w:rsidP="00E84EE4">
      <w:pPr>
        <w:pStyle w:val="Textosinformato"/>
        <w:jc w:val="both"/>
        <w:rPr>
          <w:rFonts w:ascii="gobCL" w:hAnsi="gobCL"/>
          <w:b/>
          <w:bCs/>
          <w:color w:val="1F3864" w:themeColor="accent1" w:themeShade="80"/>
        </w:rPr>
      </w:pPr>
      <w:r w:rsidRPr="00E84EE4">
        <w:rPr>
          <w:rFonts w:ascii="gobCL" w:hAnsi="gobCL"/>
          <w:b/>
          <w:bCs/>
          <w:color w:val="1F3864" w:themeColor="accent1" w:themeShade="80"/>
        </w:rPr>
        <w:t>La consulta no dice relación con aclaración de bases</w:t>
      </w:r>
      <w:r w:rsidR="0033165C">
        <w:rPr>
          <w:rFonts w:ascii="gobCL" w:hAnsi="gobCL"/>
          <w:b/>
          <w:bCs/>
          <w:color w:val="1F3864" w:themeColor="accent1" w:themeShade="80"/>
        </w:rPr>
        <w:t>. Hay que recordar</w:t>
      </w:r>
      <w:r w:rsidRPr="00E84EE4">
        <w:rPr>
          <w:rFonts w:ascii="gobCL" w:hAnsi="gobCL"/>
          <w:b/>
          <w:bCs/>
          <w:color w:val="1F3864" w:themeColor="accent1" w:themeShade="80"/>
        </w:rPr>
        <w:t xml:space="preserve"> que la exigencia comentada es legal.</w:t>
      </w:r>
    </w:p>
    <w:p w:rsidR="00B37AEC" w:rsidRPr="000B76C6" w:rsidRDefault="00B37AEC" w:rsidP="000B76C6">
      <w:pPr>
        <w:spacing w:line="240" w:lineRule="auto"/>
        <w:jc w:val="both"/>
        <w:rPr>
          <w:rFonts w:ascii="gobCL" w:hAnsi="gobCL"/>
          <w:bCs/>
          <w:sz w:val="24"/>
          <w:szCs w:val="24"/>
          <w:lang w:eastAsia="es-CL"/>
        </w:rPr>
      </w:pPr>
    </w:p>
    <w:p w:rsidR="00B37AEC" w:rsidRPr="000B76C6" w:rsidRDefault="00B37AEC" w:rsidP="000B76C6">
      <w:pPr>
        <w:spacing w:line="240" w:lineRule="auto"/>
        <w:jc w:val="both"/>
        <w:rPr>
          <w:rFonts w:ascii="gobCL" w:hAnsi="gobCL"/>
          <w:bCs/>
          <w:sz w:val="24"/>
          <w:szCs w:val="24"/>
          <w:lang w:eastAsia="es-CL"/>
        </w:rPr>
      </w:pPr>
      <w:r w:rsidRPr="000B76C6">
        <w:rPr>
          <w:rFonts w:ascii="gobCL" w:hAnsi="gobCL"/>
          <w:bCs/>
          <w:sz w:val="24"/>
          <w:szCs w:val="24"/>
          <w:lang w:eastAsia="es-CL"/>
        </w:rPr>
        <w:t>Independiente de la respuesta anterior,</w:t>
      </w:r>
    </w:p>
    <w:p w:rsidR="00B37AEC" w:rsidRPr="000B76C6" w:rsidRDefault="00B37AEC" w:rsidP="000B76C6">
      <w:pPr>
        <w:spacing w:line="240" w:lineRule="auto"/>
        <w:jc w:val="both"/>
        <w:rPr>
          <w:rFonts w:ascii="gobCL" w:hAnsi="gobCL"/>
          <w:bCs/>
          <w:sz w:val="24"/>
          <w:szCs w:val="24"/>
          <w:lang w:eastAsia="es-CL"/>
        </w:rPr>
      </w:pPr>
    </w:p>
    <w:p w:rsidR="00B37AEC" w:rsidRPr="00E84EE4" w:rsidRDefault="00E84EE4" w:rsidP="00E84EE4">
      <w:pPr>
        <w:pStyle w:val="Prrafodelista"/>
        <w:numPr>
          <w:ilvl w:val="0"/>
          <w:numId w:val="10"/>
        </w:numPr>
        <w:spacing w:line="240" w:lineRule="auto"/>
        <w:jc w:val="both"/>
        <w:rPr>
          <w:rFonts w:ascii="gobCL" w:hAnsi="gobCL"/>
          <w:bCs/>
          <w:sz w:val="24"/>
          <w:szCs w:val="24"/>
          <w:lang w:eastAsia="es-CL"/>
        </w:rPr>
      </w:pPr>
      <w:r w:rsidRPr="00E84EE4">
        <w:rPr>
          <w:rFonts w:ascii="gobCL" w:hAnsi="gobCL"/>
          <w:bCs/>
          <w:sz w:val="24"/>
          <w:szCs w:val="24"/>
          <w:lang w:eastAsia="es-CL"/>
        </w:rPr>
        <w:t>O sea, ¿solo puede un actor nuevo que adjudique esta licitación, comprar o arrendar esas licencias a quienes las tienen gracias a la ley, o sea la industria pesquera?</w:t>
      </w:r>
      <w:r w:rsidR="00B37AEC" w:rsidRPr="00E84EE4">
        <w:rPr>
          <w:rFonts w:ascii="gobCL" w:hAnsi="gobCL"/>
          <w:bCs/>
          <w:sz w:val="24"/>
          <w:szCs w:val="24"/>
          <w:lang w:eastAsia="es-CL"/>
        </w:rPr>
        <w:t xml:space="preserve">, </w:t>
      </w:r>
      <w:r w:rsidRPr="00E84EE4">
        <w:rPr>
          <w:rFonts w:ascii="gobCL" w:hAnsi="gobCL"/>
          <w:bCs/>
          <w:sz w:val="24"/>
          <w:szCs w:val="24"/>
          <w:lang w:eastAsia="es-CL"/>
        </w:rPr>
        <w:t>o la subsecretaría de pesca del Estado de Chile, dispone de una fauna asociada para entregar vía cuota de imprevistos u otra, ¿a quién se adjudique esta licitación para así garantizar competencia e igualdad ante la ley?</w:t>
      </w:r>
    </w:p>
    <w:p w:rsidR="00B37AEC" w:rsidRPr="000B76C6" w:rsidRDefault="00E84EE4" w:rsidP="000B76C6">
      <w:pPr>
        <w:spacing w:line="240" w:lineRule="auto"/>
        <w:jc w:val="both"/>
        <w:rPr>
          <w:rFonts w:ascii="gobCL" w:hAnsi="gobCL"/>
          <w:bCs/>
          <w:sz w:val="24"/>
          <w:szCs w:val="24"/>
          <w:lang w:eastAsia="es-CL"/>
        </w:rPr>
      </w:pPr>
      <w:r w:rsidRPr="00E84EE4">
        <w:rPr>
          <w:rFonts w:ascii="gobCL" w:hAnsi="gobCL"/>
          <w:b/>
          <w:bCs/>
          <w:color w:val="1F3864" w:themeColor="accent1" w:themeShade="80"/>
          <w:szCs w:val="21"/>
        </w:rPr>
        <w:t>La consulta no dice relación con aclaración de bases</w:t>
      </w:r>
    </w:p>
    <w:p w:rsidR="00B37AEC" w:rsidRPr="000B76C6" w:rsidRDefault="00B37AEC" w:rsidP="000B76C6">
      <w:pPr>
        <w:spacing w:line="240" w:lineRule="auto"/>
        <w:jc w:val="both"/>
        <w:rPr>
          <w:rFonts w:ascii="gobCL" w:hAnsi="gobCL"/>
          <w:bCs/>
          <w:sz w:val="24"/>
          <w:szCs w:val="24"/>
          <w:lang w:eastAsia="es-CL"/>
        </w:rPr>
      </w:pPr>
      <w:r w:rsidRPr="000B76C6">
        <w:rPr>
          <w:rFonts w:ascii="gobCL" w:hAnsi="gobCL"/>
          <w:bCs/>
          <w:sz w:val="24"/>
          <w:szCs w:val="24"/>
          <w:lang w:eastAsia="es-CL"/>
        </w:rPr>
        <w:t xml:space="preserve">No </w:t>
      </w:r>
      <w:r w:rsidR="00E84EE4" w:rsidRPr="000B76C6">
        <w:rPr>
          <w:rFonts w:ascii="gobCL" w:hAnsi="gobCL"/>
          <w:bCs/>
          <w:sz w:val="24"/>
          <w:szCs w:val="24"/>
          <w:lang w:eastAsia="es-CL"/>
        </w:rPr>
        <w:t>obstante,</w:t>
      </w:r>
      <w:r w:rsidRPr="000B76C6">
        <w:rPr>
          <w:rFonts w:ascii="gobCL" w:hAnsi="gobCL"/>
          <w:bCs/>
          <w:sz w:val="24"/>
          <w:szCs w:val="24"/>
          <w:lang w:eastAsia="es-CL"/>
        </w:rPr>
        <w:t xml:space="preserve"> la respuesta anterior,</w:t>
      </w:r>
    </w:p>
    <w:p w:rsidR="00B37AEC" w:rsidRDefault="00B37AEC" w:rsidP="00E84EE4">
      <w:pPr>
        <w:pStyle w:val="Prrafodelista"/>
        <w:numPr>
          <w:ilvl w:val="0"/>
          <w:numId w:val="10"/>
        </w:numPr>
        <w:spacing w:line="240" w:lineRule="auto"/>
        <w:jc w:val="both"/>
        <w:rPr>
          <w:rFonts w:ascii="gobCL" w:hAnsi="gobCL"/>
          <w:bCs/>
          <w:sz w:val="24"/>
          <w:szCs w:val="24"/>
          <w:lang w:eastAsia="es-CL"/>
        </w:rPr>
      </w:pPr>
      <w:r w:rsidRPr="00E84EE4">
        <w:rPr>
          <w:rFonts w:ascii="gobCL" w:hAnsi="gobCL"/>
          <w:bCs/>
          <w:sz w:val="24"/>
          <w:szCs w:val="24"/>
          <w:lang w:eastAsia="es-CL"/>
        </w:rPr>
        <w:t xml:space="preserve"> </w:t>
      </w:r>
      <w:r w:rsidR="00E84EE4" w:rsidRPr="00E84EE4">
        <w:rPr>
          <w:rFonts w:ascii="gobCL" w:hAnsi="gobCL"/>
          <w:bCs/>
          <w:sz w:val="24"/>
          <w:szCs w:val="24"/>
          <w:lang w:eastAsia="es-CL"/>
        </w:rPr>
        <w:t>¿Se observa una falsa oportunidad que obligará a quien adjudique esta cuota a perderla o cederla a los grupos de control de mercado industrial o me equivoco?</w:t>
      </w:r>
      <w:r w:rsidRPr="00E84EE4">
        <w:rPr>
          <w:rFonts w:ascii="gobCL" w:hAnsi="gobCL"/>
          <w:bCs/>
          <w:sz w:val="24"/>
          <w:szCs w:val="24"/>
          <w:lang w:eastAsia="es-CL"/>
        </w:rPr>
        <w:t xml:space="preserve"> </w:t>
      </w:r>
    </w:p>
    <w:p w:rsidR="0033165C" w:rsidRPr="0033165C" w:rsidRDefault="0033165C" w:rsidP="0033165C">
      <w:pPr>
        <w:spacing w:line="240" w:lineRule="auto"/>
        <w:jc w:val="both"/>
        <w:rPr>
          <w:rFonts w:ascii="gobCL" w:hAnsi="gobCL"/>
          <w:bCs/>
          <w:sz w:val="24"/>
          <w:szCs w:val="24"/>
          <w:lang w:eastAsia="es-CL"/>
        </w:rPr>
      </w:pPr>
      <w:r w:rsidRPr="0033165C">
        <w:rPr>
          <w:rFonts w:ascii="gobCL" w:hAnsi="gobCL"/>
          <w:b/>
          <w:bCs/>
          <w:color w:val="1F3864" w:themeColor="accent1" w:themeShade="80"/>
          <w:szCs w:val="21"/>
        </w:rPr>
        <w:t>La consulta no dice relación con aclaración de bases</w:t>
      </w:r>
    </w:p>
    <w:p w:rsidR="0033165C" w:rsidRPr="0033165C" w:rsidRDefault="0033165C" w:rsidP="0033165C">
      <w:pPr>
        <w:spacing w:line="240" w:lineRule="auto"/>
        <w:jc w:val="both"/>
        <w:rPr>
          <w:rFonts w:ascii="gobCL" w:hAnsi="gobCL"/>
          <w:bCs/>
          <w:sz w:val="24"/>
          <w:szCs w:val="24"/>
          <w:lang w:eastAsia="es-CL"/>
        </w:rPr>
      </w:pPr>
    </w:p>
    <w:p w:rsidR="00B37AEC" w:rsidRPr="000B76C6" w:rsidRDefault="00E84EE4" w:rsidP="000B76C6">
      <w:pPr>
        <w:spacing w:line="240" w:lineRule="auto"/>
        <w:jc w:val="both"/>
        <w:rPr>
          <w:rFonts w:ascii="gobCL" w:hAnsi="gobCL"/>
          <w:bCs/>
          <w:sz w:val="24"/>
          <w:szCs w:val="24"/>
          <w:lang w:eastAsia="es-CL"/>
        </w:rPr>
      </w:pPr>
      <w:r>
        <w:rPr>
          <w:rFonts w:ascii="gobCL" w:hAnsi="gobCL"/>
          <w:bCs/>
          <w:sz w:val="24"/>
          <w:szCs w:val="24"/>
          <w:lang w:eastAsia="es-CL"/>
        </w:rPr>
        <w:t xml:space="preserve">5.- </w:t>
      </w:r>
      <w:r w:rsidRPr="000B76C6">
        <w:rPr>
          <w:rFonts w:ascii="gobCL" w:hAnsi="gobCL"/>
          <w:bCs/>
          <w:sz w:val="24"/>
          <w:szCs w:val="24"/>
          <w:lang w:eastAsia="es-CL"/>
        </w:rPr>
        <w:t>¿Se protege la libertad empresarial de todos o solo unos pocos al ir generando una falsa oportunidad a través de una licitación que no abre el mercado a nuevos actores, sino que lo que persigue es generar un control cerrado de grupos de privilegio?</w:t>
      </w:r>
    </w:p>
    <w:p w:rsidR="00B37AEC" w:rsidRPr="000B76C6" w:rsidRDefault="00E84EE4" w:rsidP="000B76C6">
      <w:pPr>
        <w:spacing w:line="240" w:lineRule="auto"/>
        <w:jc w:val="both"/>
        <w:rPr>
          <w:rFonts w:ascii="gobCL" w:hAnsi="gobCL"/>
          <w:bCs/>
          <w:sz w:val="24"/>
          <w:szCs w:val="24"/>
          <w:lang w:eastAsia="es-CL"/>
        </w:rPr>
      </w:pPr>
      <w:r w:rsidRPr="00E84EE4">
        <w:rPr>
          <w:rFonts w:ascii="gobCL" w:hAnsi="gobCL"/>
          <w:b/>
          <w:bCs/>
          <w:color w:val="1F3864" w:themeColor="accent1" w:themeShade="80"/>
          <w:szCs w:val="21"/>
        </w:rPr>
        <w:t>La consulta no dice relación con aclaración de bases</w:t>
      </w:r>
      <w:r>
        <w:rPr>
          <w:rFonts w:ascii="gobCL" w:hAnsi="gobCL"/>
          <w:b/>
          <w:bCs/>
          <w:color w:val="1F3864" w:themeColor="accent1" w:themeShade="80"/>
          <w:szCs w:val="21"/>
        </w:rPr>
        <w:t>.</w:t>
      </w:r>
    </w:p>
    <w:p w:rsidR="00B37AEC" w:rsidRPr="000B76C6" w:rsidRDefault="00E84EE4" w:rsidP="000B76C6">
      <w:pPr>
        <w:spacing w:line="240" w:lineRule="auto"/>
        <w:jc w:val="both"/>
        <w:rPr>
          <w:rFonts w:ascii="gobCL" w:hAnsi="gobCL"/>
          <w:bCs/>
          <w:sz w:val="24"/>
          <w:szCs w:val="24"/>
          <w:lang w:eastAsia="es-CL"/>
        </w:rPr>
      </w:pPr>
      <w:r>
        <w:rPr>
          <w:rFonts w:ascii="gobCL" w:hAnsi="gobCL"/>
          <w:bCs/>
          <w:sz w:val="24"/>
          <w:szCs w:val="24"/>
          <w:lang w:eastAsia="es-CL"/>
        </w:rPr>
        <w:lastRenderedPageBreak/>
        <w:t xml:space="preserve">6.- </w:t>
      </w:r>
      <w:r w:rsidR="00B37AEC" w:rsidRPr="000B76C6">
        <w:rPr>
          <w:rFonts w:ascii="gobCL" w:hAnsi="gobCL"/>
          <w:bCs/>
          <w:sz w:val="24"/>
          <w:szCs w:val="24"/>
          <w:lang w:eastAsia="es-CL"/>
        </w:rPr>
        <w:t>¿Cómo el Estado y este gobierno protegerán el ingreso efectivo de Pymes al mundo de la pesca extractiva de Chile?,</w:t>
      </w:r>
    </w:p>
    <w:p w:rsidR="00B37AEC" w:rsidRPr="000B76C6" w:rsidRDefault="00E84EE4" w:rsidP="000B76C6">
      <w:pPr>
        <w:spacing w:line="240" w:lineRule="auto"/>
        <w:jc w:val="both"/>
        <w:rPr>
          <w:rFonts w:ascii="gobCL" w:hAnsi="gobCL"/>
          <w:bCs/>
          <w:sz w:val="24"/>
          <w:szCs w:val="24"/>
          <w:lang w:eastAsia="es-CL"/>
        </w:rPr>
      </w:pPr>
      <w:r w:rsidRPr="00E84EE4">
        <w:rPr>
          <w:rFonts w:ascii="gobCL" w:hAnsi="gobCL"/>
          <w:b/>
          <w:bCs/>
          <w:color w:val="1F3864" w:themeColor="accent1" w:themeShade="80"/>
          <w:szCs w:val="21"/>
        </w:rPr>
        <w:t>La consulta no dice relación con aclaración de bases</w:t>
      </w:r>
      <w:r>
        <w:rPr>
          <w:rFonts w:ascii="gobCL" w:hAnsi="gobCL"/>
          <w:b/>
          <w:bCs/>
          <w:color w:val="1F3864" w:themeColor="accent1" w:themeShade="80"/>
          <w:szCs w:val="21"/>
        </w:rPr>
        <w:t>.</w:t>
      </w:r>
    </w:p>
    <w:p w:rsidR="00B37AEC" w:rsidRPr="000B76C6" w:rsidRDefault="00E84EE4" w:rsidP="000B76C6">
      <w:pPr>
        <w:spacing w:line="240" w:lineRule="auto"/>
        <w:jc w:val="both"/>
        <w:rPr>
          <w:rFonts w:ascii="gobCL" w:hAnsi="gobCL"/>
          <w:bCs/>
          <w:sz w:val="24"/>
          <w:szCs w:val="24"/>
          <w:lang w:eastAsia="es-CL"/>
        </w:rPr>
      </w:pPr>
      <w:r>
        <w:rPr>
          <w:rFonts w:ascii="gobCL" w:hAnsi="gobCL"/>
          <w:bCs/>
          <w:sz w:val="24"/>
          <w:szCs w:val="24"/>
          <w:lang w:eastAsia="es-CL"/>
        </w:rPr>
        <w:t xml:space="preserve">7.- </w:t>
      </w:r>
      <w:r w:rsidR="00B37AEC" w:rsidRPr="000B76C6">
        <w:rPr>
          <w:rFonts w:ascii="gobCL" w:hAnsi="gobCL"/>
          <w:bCs/>
          <w:sz w:val="24"/>
          <w:szCs w:val="24"/>
          <w:lang w:eastAsia="es-CL"/>
        </w:rPr>
        <w:t>¿Existe una posibilidad real que apoye el Estado de generar la actividad de pescar la cuota que una empresa se adjudique en esta licitación, o eso solo y siempre dependerá de los actores privados que quieran vender o arrendar sus licencias para luego generar competencia a ellos mismos?</w:t>
      </w:r>
    </w:p>
    <w:p w:rsidR="00B37AEC" w:rsidRPr="000B76C6" w:rsidRDefault="00E84EE4" w:rsidP="000B76C6">
      <w:pPr>
        <w:spacing w:line="240" w:lineRule="auto"/>
        <w:jc w:val="both"/>
        <w:rPr>
          <w:rFonts w:ascii="gobCL" w:hAnsi="gobCL"/>
          <w:bCs/>
          <w:sz w:val="24"/>
          <w:szCs w:val="24"/>
          <w:lang w:eastAsia="es-CL"/>
        </w:rPr>
      </w:pPr>
      <w:r w:rsidRPr="00E84EE4">
        <w:rPr>
          <w:rFonts w:ascii="gobCL" w:hAnsi="gobCL"/>
          <w:b/>
          <w:bCs/>
          <w:color w:val="1F3864" w:themeColor="accent1" w:themeShade="80"/>
          <w:szCs w:val="21"/>
        </w:rPr>
        <w:t>La consulta no dice relación con aclaración de bases</w:t>
      </w:r>
      <w:r>
        <w:rPr>
          <w:rFonts w:ascii="gobCL" w:hAnsi="gobCL"/>
          <w:b/>
          <w:bCs/>
          <w:color w:val="1F3864" w:themeColor="accent1" w:themeShade="80"/>
          <w:szCs w:val="21"/>
        </w:rPr>
        <w:t>.</w:t>
      </w:r>
    </w:p>
    <w:p w:rsidR="00B37AEC" w:rsidRPr="000B76C6" w:rsidRDefault="00E84EE4" w:rsidP="000B76C6">
      <w:pPr>
        <w:spacing w:line="240" w:lineRule="auto"/>
        <w:jc w:val="both"/>
        <w:rPr>
          <w:rFonts w:ascii="gobCL" w:hAnsi="gobCL"/>
          <w:bCs/>
          <w:sz w:val="24"/>
          <w:szCs w:val="24"/>
          <w:lang w:eastAsia="es-CL"/>
        </w:rPr>
      </w:pPr>
      <w:r>
        <w:rPr>
          <w:rFonts w:ascii="gobCL" w:hAnsi="gobCL"/>
          <w:bCs/>
          <w:sz w:val="24"/>
          <w:szCs w:val="24"/>
          <w:lang w:eastAsia="es-CL"/>
        </w:rPr>
        <w:t xml:space="preserve">8.- </w:t>
      </w:r>
      <w:r w:rsidRPr="000B76C6">
        <w:rPr>
          <w:rFonts w:ascii="gobCL" w:hAnsi="gobCL"/>
          <w:bCs/>
          <w:sz w:val="24"/>
          <w:szCs w:val="24"/>
          <w:lang w:eastAsia="es-CL"/>
        </w:rPr>
        <w:t>¿No es acaso esta la forma más imperfecta de abrir un mercado económico, de promover competencia, de apoyar a las empresas de menor tamaño y de promover reglas claras en una cancha pareja donde todos seamos iguales ante la ley?</w:t>
      </w:r>
    </w:p>
    <w:p w:rsidR="00B64377" w:rsidRPr="000B76C6" w:rsidRDefault="00E84EE4" w:rsidP="008D3193">
      <w:pPr>
        <w:overflowPunct w:val="0"/>
        <w:autoSpaceDE w:val="0"/>
        <w:autoSpaceDN w:val="0"/>
        <w:adjustRightInd w:val="0"/>
        <w:spacing w:after="0" w:line="240" w:lineRule="auto"/>
        <w:contextualSpacing/>
        <w:jc w:val="both"/>
        <w:textAlignment w:val="baseline"/>
        <w:rPr>
          <w:rFonts w:ascii="gobCL" w:eastAsia="Times New Roman" w:hAnsi="gobCL" w:cs="Arial"/>
          <w:bCs/>
          <w:color w:val="2F5496" w:themeColor="accent1" w:themeShade="BF"/>
          <w:lang w:val="es-ES_tradnl" w:eastAsia="es-ES"/>
        </w:rPr>
      </w:pPr>
      <w:r w:rsidRPr="00E84EE4">
        <w:rPr>
          <w:rFonts w:ascii="gobCL" w:hAnsi="gobCL"/>
          <w:b/>
          <w:bCs/>
          <w:color w:val="1F3864" w:themeColor="accent1" w:themeShade="80"/>
          <w:szCs w:val="21"/>
        </w:rPr>
        <w:t>La consulta no dice relación con aclaración de bases</w:t>
      </w:r>
      <w:r>
        <w:rPr>
          <w:rFonts w:ascii="gobCL" w:hAnsi="gobCL"/>
          <w:b/>
          <w:bCs/>
          <w:color w:val="1F3864" w:themeColor="accent1" w:themeShade="80"/>
          <w:szCs w:val="21"/>
        </w:rPr>
        <w:t>.</w:t>
      </w:r>
    </w:p>
    <w:sectPr w:rsidR="00B64377" w:rsidRPr="000B76C6" w:rsidSect="008D3193">
      <w:footerReference w:type="default" r:id="rId8"/>
      <w:pgSz w:w="12240" w:h="18720" w:code="14"/>
      <w:pgMar w:top="851" w:right="1191" w:bottom="2552"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60A" w:rsidRDefault="0076760A" w:rsidP="00675DAE">
      <w:pPr>
        <w:spacing w:after="0" w:line="240" w:lineRule="auto"/>
      </w:pPr>
      <w:r>
        <w:separator/>
      </w:r>
    </w:p>
  </w:endnote>
  <w:endnote w:type="continuationSeparator" w:id="0">
    <w:p w:rsidR="0076760A" w:rsidRDefault="0076760A" w:rsidP="0067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4D" w:rsidRPr="0031034D" w:rsidRDefault="0031034D">
    <w:pPr>
      <w:tabs>
        <w:tab w:val="center" w:pos="4550"/>
        <w:tab w:val="left" w:pos="5818"/>
      </w:tabs>
      <w:ind w:right="260"/>
      <w:jc w:val="right"/>
      <w:rPr>
        <w:rFonts w:ascii="gobCL" w:hAnsi="gobCL"/>
        <w:sz w:val="20"/>
        <w:szCs w:val="20"/>
      </w:rPr>
    </w:pPr>
    <w:r w:rsidRPr="0031034D">
      <w:rPr>
        <w:rFonts w:ascii="gobCL" w:hAnsi="gobCL"/>
        <w:spacing w:val="60"/>
        <w:sz w:val="20"/>
        <w:szCs w:val="20"/>
        <w:lang w:val="es-ES"/>
      </w:rPr>
      <w:t>Página</w:t>
    </w:r>
    <w:r w:rsidRPr="0031034D">
      <w:rPr>
        <w:rFonts w:ascii="gobCL" w:hAnsi="gobCL"/>
        <w:sz w:val="20"/>
        <w:szCs w:val="20"/>
        <w:lang w:val="es-ES"/>
      </w:rPr>
      <w:t xml:space="preserve"> </w:t>
    </w:r>
    <w:r w:rsidRPr="0031034D">
      <w:rPr>
        <w:rFonts w:ascii="gobCL" w:hAnsi="gobCL"/>
        <w:sz w:val="20"/>
        <w:szCs w:val="20"/>
      </w:rPr>
      <w:fldChar w:fldCharType="begin"/>
    </w:r>
    <w:r w:rsidRPr="0031034D">
      <w:rPr>
        <w:rFonts w:ascii="gobCL" w:hAnsi="gobCL"/>
        <w:sz w:val="20"/>
        <w:szCs w:val="20"/>
      </w:rPr>
      <w:instrText>PAGE   \* MERGEFORMAT</w:instrText>
    </w:r>
    <w:r w:rsidRPr="0031034D">
      <w:rPr>
        <w:rFonts w:ascii="gobCL" w:hAnsi="gobCL"/>
        <w:sz w:val="20"/>
        <w:szCs w:val="20"/>
      </w:rPr>
      <w:fldChar w:fldCharType="separate"/>
    </w:r>
    <w:r w:rsidRPr="0031034D">
      <w:rPr>
        <w:rFonts w:ascii="gobCL" w:hAnsi="gobCL"/>
        <w:sz w:val="20"/>
        <w:szCs w:val="20"/>
        <w:lang w:val="es-ES"/>
      </w:rPr>
      <w:t>1</w:t>
    </w:r>
    <w:r w:rsidRPr="0031034D">
      <w:rPr>
        <w:rFonts w:ascii="gobCL" w:hAnsi="gobCL"/>
        <w:sz w:val="20"/>
        <w:szCs w:val="20"/>
      </w:rPr>
      <w:fldChar w:fldCharType="end"/>
    </w:r>
    <w:r w:rsidRPr="0031034D">
      <w:rPr>
        <w:rFonts w:ascii="gobCL" w:hAnsi="gobCL"/>
        <w:sz w:val="20"/>
        <w:szCs w:val="20"/>
        <w:lang w:val="es-ES"/>
      </w:rPr>
      <w:t xml:space="preserve"> | </w:t>
    </w:r>
    <w:r w:rsidRPr="0031034D">
      <w:rPr>
        <w:rFonts w:ascii="gobCL" w:hAnsi="gobCL"/>
        <w:sz w:val="20"/>
        <w:szCs w:val="20"/>
      </w:rPr>
      <w:fldChar w:fldCharType="begin"/>
    </w:r>
    <w:r w:rsidRPr="0031034D">
      <w:rPr>
        <w:rFonts w:ascii="gobCL" w:hAnsi="gobCL"/>
        <w:sz w:val="20"/>
        <w:szCs w:val="20"/>
      </w:rPr>
      <w:instrText>NUMPAGES  \* Arabic  \* MERGEFORMAT</w:instrText>
    </w:r>
    <w:r w:rsidRPr="0031034D">
      <w:rPr>
        <w:rFonts w:ascii="gobCL" w:hAnsi="gobCL"/>
        <w:sz w:val="20"/>
        <w:szCs w:val="20"/>
      </w:rPr>
      <w:fldChar w:fldCharType="separate"/>
    </w:r>
    <w:r w:rsidRPr="0031034D">
      <w:rPr>
        <w:rFonts w:ascii="gobCL" w:hAnsi="gobCL"/>
        <w:sz w:val="20"/>
        <w:szCs w:val="20"/>
        <w:lang w:val="es-ES"/>
      </w:rPr>
      <w:t>1</w:t>
    </w:r>
    <w:r w:rsidRPr="0031034D">
      <w:rPr>
        <w:rFonts w:ascii="gobCL" w:hAnsi="gobCL"/>
        <w:sz w:val="20"/>
        <w:szCs w:val="20"/>
      </w:rPr>
      <w:fldChar w:fldCharType="end"/>
    </w:r>
  </w:p>
  <w:p w:rsidR="00675DAE" w:rsidRDefault="00675D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60A" w:rsidRDefault="0076760A" w:rsidP="00675DAE">
      <w:pPr>
        <w:spacing w:after="0" w:line="240" w:lineRule="auto"/>
      </w:pPr>
      <w:r>
        <w:separator/>
      </w:r>
    </w:p>
  </w:footnote>
  <w:footnote w:type="continuationSeparator" w:id="0">
    <w:p w:rsidR="0076760A" w:rsidRDefault="0076760A" w:rsidP="00675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B83"/>
    <w:multiLevelType w:val="hybridMultilevel"/>
    <w:tmpl w:val="C390F2CE"/>
    <w:lvl w:ilvl="0" w:tplc="0FB61598">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76D5988"/>
    <w:multiLevelType w:val="hybridMultilevel"/>
    <w:tmpl w:val="03F054E0"/>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F9E36EB"/>
    <w:multiLevelType w:val="hybridMultilevel"/>
    <w:tmpl w:val="1B1678A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501045B"/>
    <w:multiLevelType w:val="hybridMultilevel"/>
    <w:tmpl w:val="34DE7942"/>
    <w:lvl w:ilvl="0" w:tplc="5D608288">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3855635"/>
    <w:multiLevelType w:val="hybridMultilevel"/>
    <w:tmpl w:val="55A86F84"/>
    <w:lvl w:ilvl="0" w:tplc="3DB0F51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59CF1F36"/>
    <w:multiLevelType w:val="hybridMultilevel"/>
    <w:tmpl w:val="E110C2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AD02B06"/>
    <w:multiLevelType w:val="hybridMultilevel"/>
    <w:tmpl w:val="ED22CE62"/>
    <w:lvl w:ilvl="0" w:tplc="13588CF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E32192"/>
    <w:multiLevelType w:val="hybridMultilevel"/>
    <w:tmpl w:val="050CF7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1"/>
  </w:num>
  <w:num w:numId="6">
    <w:abstractNumId w:val="0"/>
  </w:num>
  <w:num w:numId="7">
    <w:abstractNumId w:val="5"/>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77"/>
    <w:rsid w:val="000B76C6"/>
    <w:rsid w:val="00167ACE"/>
    <w:rsid w:val="00241A3E"/>
    <w:rsid w:val="002516C6"/>
    <w:rsid w:val="002517AC"/>
    <w:rsid w:val="002D24DC"/>
    <w:rsid w:val="0031034D"/>
    <w:rsid w:val="0033165C"/>
    <w:rsid w:val="00395A1D"/>
    <w:rsid w:val="00402228"/>
    <w:rsid w:val="004171B6"/>
    <w:rsid w:val="00675DAE"/>
    <w:rsid w:val="007426B9"/>
    <w:rsid w:val="0076760A"/>
    <w:rsid w:val="008A1781"/>
    <w:rsid w:val="008D3193"/>
    <w:rsid w:val="00923006"/>
    <w:rsid w:val="00AA7319"/>
    <w:rsid w:val="00B37AEC"/>
    <w:rsid w:val="00B64377"/>
    <w:rsid w:val="00BC2FF9"/>
    <w:rsid w:val="00E66A0B"/>
    <w:rsid w:val="00E84E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A2237-925D-45FE-B6EB-A38FB54E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7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377"/>
    <w:pPr>
      <w:ind w:left="720"/>
      <w:contextualSpacing/>
    </w:pPr>
  </w:style>
  <w:style w:type="paragraph" w:styleId="Encabezado">
    <w:name w:val="header"/>
    <w:basedOn w:val="Normal"/>
    <w:link w:val="EncabezadoCar"/>
    <w:uiPriority w:val="99"/>
    <w:unhideWhenUsed/>
    <w:rsid w:val="00675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DAE"/>
  </w:style>
  <w:style w:type="paragraph" w:styleId="Piedepgina">
    <w:name w:val="footer"/>
    <w:basedOn w:val="Normal"/>
    <w:link w:val="PiedepginaCar"/>
    <w:uiPriority w:val="99"/>
    <w:unhideWhenUsed/>
    <w:rsid w:val="00675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DAE"/>
  </w:style>
  <w:style w:type="paragraph" w:styleId="Textosinformato">
    <w:name w:val="Plain Text"/>
    <w:basedOn w:val="Normal"/>
    <w:link w:val="TextosinformatoCar"/>
    <w:uiPriority w:val="99"/>
    <w:semiHidden/>
    <w:unhideWhenUsed/>
    <w:rsid w:val="0031034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3103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04022">
      <w:bodyDiv w:val="1"/>
      <w:marLeft w:val="0"/>
      <w:marRight w:val="0"/>
      <w:marTop w:val="0"/>
      <w:marBottom w:val="0"/>
      <w:divBdr>
        <w:top w:val="none" w:sz="0" w:space="0" w:color="auto"/>
        <w:left w:val="none" w:sz="0" w:space="0" w:color="auto"/>
        <w:bottom w:val="none" w:sz="0" w:space="0" w:color="auto"/>
        <w:right w:val="none" w:sz="0" w:space="0" w:color="auto"/>
      </w:divBdr>
    </w:div>
    <w:div w:id="1782529451">
      <w:bodyDiv w:val="1"/>
      <w:marLeft w:val="0"/>
      <w:marRight w:val="0"/>
      <w:marTop w:val="0"/>
      <w:marBottom w:val="0"/>
      <w:divBdr>
        <w:top w:val="none" w:sz="0" w:space="0" w:color="auto"/>
        <w:left w:val="none" w:sz="0" w:space="0" w:color="auto"/>
        <w:bottom w:val="none" w:sz="0" w:space="0" w:color="auto"/>
        <w:right w:val="none" w:sz="0" w:space="0" w:color="auto"/>
      </w:divBdr>
    </w:div>
    <w:div w:id="1871408574">
      <w:bodyDiv w:val="1"/>
      <w:marLeft w:val="0"/>
      <w:marRight w:val="0"/>
      <w:marTop w:val="0"/>
      <w:marBottom w:val="0"/>
      <w:divBdr>
        <w:top w:val="none" w:sz="0" w:space="0" w:color="auto"/>
        <w:left w:val="none" w:sz="0" w:space="0" w:color="auto"/>
        <w:bottom w:val="none" w:sz="0" w:space="0" w:color="auto"/>
        <w:right w:val="none" w:sz="0" w:space="0" w:color="auto"/>
      </w:divBdr>
    </w:div>
    <w:div w:id="18957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bastapublica@subpes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Francisco Ortiz</cp:lastModifiedBy>
  <cp:revision>2</cp:revision>
  <cp:lastPrinted>2022-12-09T18:17:00Z</cp:lastPrinted>
  <dcterms:created xsi:type="dcterms:W3CDTF">2022-12-09T18:32:00Z</dcterms:created>
  <dcterms:modified xsi:type="dcterms:W3CDTF">2022-12-09T18:32:00Z</dcterms:modified>
</cp:coreProperties>
</file>