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C00" w:rsidRPr="00CC0BED" w:rsidRDefault="00233C00" w:rsidP="00CC0BED">
      <w:pPr>
        <w:pStyle w:val="Prrafodelista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C0BED">
        <w:rPr>
          <w:rFonts w:ascii="Times New Roman" w:hAnsi="Times New Roman"/>
          <w:b/>
          <w:sz w:val="24"/>
          <w:szCs w:val="24"/>
          <w:u w:val="single"/>
        </w:rPr>
        <w:t>ACLARACIONES A BASES ADMINIS</w:t>
      </w:r>
      <w:r w:rsidR="00CC0BED" w:rsidRPr="00CC0BED">
        <w:rPr>
          <w:rFonts w:ascii="Times New Roman" w:hAnsi="Times New Roman"/>
          <w:b/>
          <w:sz w:val="24"/>
          <w:szCs w:val="24"/>
          <w:u w:val="single"/>
        </w:rPr>
        <w:t>TRATIVAS SUBASTA CONSUMO HUMANO</w:t>
      </w:r>
    </w:p>
    <w:p w:rsidR="00233C00" w:rsidRPr="00CC0BED" w:rsidRDefault="00233C00" w:rsidP="00CC0BED">
      <w:pPr>
        <w:pStyle w:val="Prrafodelista"/>
        <w:jc w:val="both"/>
        <w:rPr>
          <w:rFonts w:ascii="Times New Roman" w:hAnsi="Times New Roman"/>
          <w:b/>
          <w:sz w:val="24"/>
          <w:szCs w:val="24"/>
        </w:rPr>
      </w:pPr>
    </w:p>
    <w:p w:rsidR="00233C00" w:rsidRDefault="00233C00" w:rsidP="00CC0BED">
      <w:pPr>
        <w:ind w:left="708" w:firstLine="12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CC0BE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Aclaraciones a las bases dirigidas al correo electrónico </w:t>
      </w:r>
      <w:hyperlink r:id="rId5" w:history="1">
        <w:r w:rsidRPr="00CC0BED">
          <w:rPr>
            <w:rStyle w:val="Hipervnculo"/>
            <w:rFonts w:ascii="Times New Roman" w:hAnsi="Times New Roman" w:cs="Times New Roman"/>
            <w:b/>
            <w:color w:val="1F497D" w:themeColor="text2"/>
            <w:sz w:val="24"/>
            <w:szCs w:val="24"/>
          </w:rPr>
          <w:t>subastapublica@subpesca.cl</w:t>
        </w:r>
      </w:hyperlink>
      <w:r w:rsidR="00CC0BED" w:rsidRPr="00CC0BE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a la fecha de </w:t>
      </w:r>
      <w:r w:rsidR="00B52BD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</w:t>
      </w:r>
      <w:bookmarkStart w:id="0" w:name="_GoBack"/>
      <w:bookmarkEnd w:id="0"/>
      <w:r w:rsidR="003375B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9</w:t>
      </w:r>
      <w:r w:rsidRPr="00CC0BE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diciembre de 20</w:t>
      </w:r>
      <w:r w:rsidR="003375B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22</w:t>
      </w:r>
      <w:r w:rsidRPr="00CC0BE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, según el orden de llegada y dentro del plazo de </w:t>
      </w:r>
      <w:r w:rsidR="003375B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72 horas</w:t>
      </w:r>
      <w:r w:rsidRPr="00CC0BE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.</w:t>
      </w:r>
    </w:p>
    <w:p w:rsidR="003375B0" w:rsidRDefault="003375B0" w:rsidP="003375B0">
      <w:pPr>
        <w:pStyle w:val="Prrafodelista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Habiéndose uno adjudicado una cuota de esta licitación, Que tipo de embarcación puede uno mandatar a pescar dicha </w:t>
      </w:r>
      <w:proofErr w:type="gramStart"/>
      <w:r>
        <w:rPr>
          <w:rFonts w:eastAsia="Times New Roman"/>
        </w:rPr>
        <w:t>cuota ?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( artesanal</w:t>
      </w:r>
      <w:proofErr w:type="gramEnd"/>
      <w:r>
        <w:rPr>
          <w:rFonts w:eastAsia="Times New Roman"/>
        </w:rPr>
        <w:t xml:space="preserve"> y/o  Industrial ? ).</w:t>
      </w:r>
    </w:p>
    <w:p w:rsidR="00C45585" w:rsidRDefault="00C45585" w:rsidP="003375B0">
      <w:pPr>
        <w:ind w:firstLine="708"/>
        <w:jc w:val="both"/>
        <w:rPr>
          <w:rFonts w:ascii="gobCL" w:hAnsi="gobCL" w:cs="Times New Roman"/>
          <w:color w:val="1F497D" w:themeColor="text2"/>
          <w:sz w:val="24"/>
          <w:szCs w:val="24"/>
        </w:rPr>
      </w:pPr>
    </w:p>
    <w:p w:rsidR="003375B0" w:rsidRPr="003375B0" w:rsidRDefault="003375B0" w:rsidP="003375B0">
      <w:pPr>
        <w:ind w:firstLine="708"/>
        <w:jc w:val="both"/>
        <w:rPr>
          <w:rFonts w:ascii="gobCL" w:eastAsia="Times New Roman" w:hAnsi="gobCL" w:cs="Times New Roman"/>
          <w:i/>
          <w:iCs/>
          <w:color w:val="1F497D" w:themeColor="text2"/>
          <w:sz w:val="24"/>
          <w:szCs w:val="24"/>
        </w:rPr>
      </w:pPr>
      <w:r w:rsidRPr="003375B0">
        <w:rPr>
          <w:rFonts w:ascii="gobCL" w:hAnsi="gobCL" w:cs="Times New Roman"/>
          <w:color w:val="1F497D" w:themeColor="text2"/>
          <w:sz w:val="24"/>
          <w:szCs w:val="24"/>
        </w:rPr>
        <w:t xml:space="preserve">R.  El </w:t>
      </w:r>
      <w:r w:rsidRPr="003375B0">
        <w:rPr>
          <w:rFonts w:ascii="gobCL" w:hAnsi="gobCL" w:cs="Arial"/>
          <w:color w:val="1F497D" w:themeColor="text2"/>
          <w:sz w:val="24"/>
          <w:szCs w:val="24"/>
        </w:rPr>
        <w:t xml:space="preserve">artículo 19.- del Reglamento contenido en el D.S. N° 173, de 2013, del Ministerio de Economía, Fomento y Turismo y sus modificaciones, prescribe que </w:t>
      </w:r>
      <w:r w:rsidRPr="003375B0">
        <w:rPr>
          <w:rFonts w:ascii="gobCL" w:hAnsi="gobCL"/>
          <w:i/>
          <w:iCs/>
          <w:color w:val="1F497D" w:themeColor="text2"/>
          <w:sz w:val="24"/>
          <w:szCs w:val="24"/>
        </w:rPr>
        <w:t xml:space="preserve">Los recursos hidrobiológicos correspondientes a los lotes subastados por las empresas de menor tamaño sólo podrán ser extraídos por </w:t>
      </w:r>
      <w:r w:rsidRPr="0055326D">
        <w:rPr>
          <w:rFonts w:ascii="gobCL" w:hAnsi="gobCL"/>
          <w:b/>
          <w:bCs/>
          <w:i/>
          <w:iCs/>
          <w:color w:val="1F497D" w:themeColor="text2"/>
          <w:sz w:val="24"/>
          <w:szCs w:val="24"/>
        </w:rPr>
        <w:t>armadores artesanales</w:t>
      </w:r>
      <w:r w:rsidRPr="003375B0">
        <w:rPr>
          <w:rFonts w:ascii="gobCL" w:hAnsi="gobCL"/>
          <w:i/>
          <w:iCs/>
          <w:color w:val="1F497D" w:themeColor="text2"/>
          <w:sz w:val="24"/>
          <w:szCs w:val="24"/>
        </w:rPr>
        <w:t xml:space="preserve">, </w:t>
      </w:r>
      <w:r w:rsidRPr="0055326D">
        <w:rPr>
          <w:rFonts w:ascii="gobCL" w:hAnsi="gobCL"/>
          <w:b/>
          <w:bCs/>
          <w:i/>
          <w:iCs/>
          <w:color w:val="1F497D" w:themeColor="text2"/>
          <w:sz w:val="24"/>
          <w:szCs w:val="24"/>
        </w:rPr>
        <w:t>debidamente inscritos en el Registro Artesanal, en la misma pesquería subastada, pudiendo sólo ser extraídos en el área autorizada a esa embarcación.</w:t>
      </w:r>
      <w:r w:rsidRPr="003375B0">
        <w:rPr>
          <w:rFonts w:ascii="gobCL" w:hAnsi="gobCL"/>
          <w:i/>
          <w:iCs/>
          <w:color w:val="1F497D" w:themeColor="text2"/>
          <w:sz w:val="24"/>
          <w:szCs w:val="24"/>
        </w:rPr>
        <w:t xml:space="preserve"> Para estos efectos los adjudicatarios </w:t>
      </w:r>
      <w:r w:rsidRPr="0055326D">
        <w:rPr>
          <w:rFonts w:ascii="gobCL" w:hAnsi="gobCL"/>
          <w:b/>
          <w:bCs/>
          <w:i/>
          <w:iCs/>
          <w:color w:val="1F497D" w:themeColor="text2"/>
          <w:sz w:val="24"/>
          <w:szCs w:val="24"/>
        </w:rPr>
        <w:t>deberán inscribir en el Servicio Nacional de Pesca las embarcaciones artesanales que efectuarán las capturas de sus lotes subastados</w:t>
      </w:r>
      <w:r w:rsidRPr="003375B0">
        <w:rPr>
          <w:rFonts w:ascii="gobCL" w:hAnsi="gobCL"/>
          <w:i/>
          <w:iCs/>
          <w:color w:val="1F497D" w:themeColor="text2"/>
          <w:sz w:val="24"/>
          <w:szCs w:val="24"/>
        </w:rPr>
        <w:t>.</w:t>
      </w:r>
      <w:r w:rsidRPr="003375B0">
        <w:rPr>
          <w:rFonts w:ascii="gobCL" w:hAnsi="gobCL" w:cs="Arial"/>
          <w:i/>
          <w:iCs/>
          <w:color w:val="1F497D" w:themeColor="text2"/>
          <w:sz w:val="24"/>
          <w:szCs w:val="24"/>
        </w:rPr>
        <w:t xml:space="preserve"> </w:t>
      </w:r>
    </w:p>
    <w:p w:rsidR="003375B0" w:rsidRDefault="003375B0" w:rsidP="003375B0">
      <w:pPr>
        <w:pStyle w:val="Prrafodelista"/>
        <w:numPr>
          <w:ilvl w:val="0"/>
          <w:numId w:val="5"/>
        </w:numPr>
        <w:rPr>
          <w:rFonts w:eastAsia="Times New Roman"/>
        </w:rPr>
      </w:pPr>
      <w:proofErr w:type="spellStart"/>
      <w:r>
        <w:rPr>
          <w:rFonts w:eastAsia="Times New Roman"/>
        </w:rPr>
        <w:t>Que</w:t>
      </w:r>
      <w:proofErr w:type="spellEnd"/>
      <w:r>
        <w:rPr>
          <w:rFonts w:eastAsia="Times New Roman"/>
        </w:rPr>
        <w:t xml:space="preserve"> pasa si una pyme de venta de menor valor a UF 75.000 en 2021, tiene un capital superior a UF 5.000 registrado en su </w:t>
      </w:r>
      <w:proofErr w:type="gramStart"/>
      <w:r>
        <w:rPr>
          <w:rFonts w:eastAsia="Times New Roman"/>
        </w:rPr>
        <w:t>balance ?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( 7</w:t>
      </w:r>
      <w:proofErr w:type="gramEnd"/>
      <w:r>
        <w:rPr>
          <w:rFonts w:eastAsia="Times New Roman"/>
        </w:rPr>
        <w:t>c )</w:t>
      </w:r>
    </w:p>
    <w:p w:rsidR="00C45585" w:rsidRDefault="00C45585" w:rsidP="00C45585">
      <w:pPr>
        <w:pStyle w:val="Prrafodelista"/>
        <w:rPr>
          <w:rFonts w:eastAsia="Times New Roman"/>
        </w:rPr>
      </w:pPr>
    </w:p>
    <w:p w:rsidR="00C45585" w:rsidRDefault="00C45585" w:rsidP="00C45585">
      <w:pPr>
        <w:ind w:firstLine="708"/>
        <w:jc w:val="both"/>
        <w:rPr>
          <w:rFonts w:ascii="gobCL" w:hAnsi="gobCL" w:cs="Arial"/>
          <w:i/>
          <w:iCs/>
          <w:color w:val="1F497D" w:themeColor="text2"/>
          <w:sz w:val="24"/>
          <w:szCs w:val="24"/>
        </w:rPr>
      </w:pPr>
      <w:r w:rsidRPr="00957277">
        <w:rPr>
          <w:rFonts w:ascii="gobCL" w:hAnsi="gobCL" w:cs="Times New Roman"/>
          <w:color w:val="1F497D" w:themeColor="text2"/>
          <w:sz w:val="24"/>
          <w:szCs w:val="24"/>
        </w:rPr>
        <w:t>R.  No existe óbice para participar en la subasta, siempre que, tal como se indica en</w:t>
      </w:r>
      <w:r w:rsidR="00957277" w:rsidRPr="00957277">
        <w:rPr>
          <w:rFonts w:ascii="gobCL" w:hAnsi="gobCL" w:cs="Times New Roman"/>
          <w:color w:val="1F497D" w:themeColor="text2"/>
          <w:sz w:val="24"/>
          <w:szCs w:val="24"/>
        </w:rPr>
        <w:t xml:space="preserve"> la letra c) del</w:t>
      </w:r>
      <w:r w:rsidRPr="00957277">
        <w:rPr>
          <w:rFonts w:ascii="gobCL" w:hAnsi="gobCL" w:cs="Times New Roman"/>
          <w:color w:val="1F497D" w:themeColor="text2"/>
          <w:sz w:val="24"/>
          <w:szCs w:val="24"/>
        </w:rPr>
        <w:t xml:space="preserve"> </w:t>
      </w:r>
      <w:r w:rsidR="00957277" w:rsidRPr="00957277">
        <w:rPr>
          <w:rFonts w:ascii="gobCL" w:hAnsi="gobCL" w:cs="Times New Roman"/>
          <w:color w:val="1F497D" w:themeColor="text2"/>
          <w:sz w:val="24"/>
          <w:szCs w:val="24"/>
        </w:rPr>
        <w:t>numeral 7° de las bases administrativas, acredite</w:t>
      </w:r>
      <w:r w:rsidR="0055326D">
        <w:rPr>
          <w:rFonts w:ascii="gobCL" w:hAnsi="gobCL" w:cs="Times New Roman"/>
          <w:color w:val="1F497D" w:themeColor="text2"/>
          <w:sz w:val="24"/>
          <w:szCs w:val="24"/>
        </w:rPr>
        <w:t xml:space="preserve"> en la forma allí señalada</w:t>
      </w:r>
      <w:r w:rsidR="00957277" w:rsidRPr="00957277">
        <w:rPr>
          <w:rFonts w:ascii="gobCL" w:hAnsi="gobCL" w:cs="Times New Roman"/>
          <w:color w:val="1F497D" w:themeColor="text2"/>
          <w:sz w:val="24"/>
          <w:szCs w:val="24"/>
        </w:rPr>
        <w:t xml:space="preserve"> que durante el año 2021 la empresa ha tenido la calidad de empresa de menor tamaño de acuerdo con lo establecido en el artículo 2° de la Ley N° 20.146, que prescribe en su inciso segundo que “</w:t>
      </w:r>
      <w:r w:rsidR="00957277" w:rsidRPr="00957277">
        <w:rPr>
          <w:rFonts w:ascii="gobCL" w:hAnsi="gobCL" w:cs="Courier New"/>
          <w:i/>
          <w:iCs/>
          <w:color w:val="1F497D" w:themeColor="text2"/>
          <w:sz w:val="24"/>
          <w:szCs w:val="24"/>
          <w:shd w:val="clear" w:color="auto" w:fill="FFFFFF"/>
        </w:rPr>
        <w:t>Son microempresas aquellas empresas cuyos ingresos anuales por ventas y servicios y otras actividades del giro no hayan superado las 2.400 unidades de fomento en el último año calendario; pequeñas empresas, aquellas cuyos ingresos anuales por ventas, servicios y otras actividades del giro sean superiores a 2.400 unidades de fomento y no exceden de 25.000 unidades de fomento en el último año calendario, y medianas empresas, aquellas cuyos ingresos anuales por ventas, servicios y otras actividades del giro sean superiores a 25.000 unidades de fomento y no exceden las 100.000 unidades de fomento en el último año calendario</w:t>
      </w:r>
      <w:r w:rsidR="00957277" w:rsidRPr="00957277">
        <w:rPr>
          <w:rFonts w:ascii="gobCL" w:hAnsi="gobCL" w:cs="Courier New"/>
          <w:color w:val="1F497D" w:themeColor="text2"/>
          <w:sz w:val="24"/>
          <w:szCs w:val="24"/>
          <w:shd w:val="clear" w:color="auto" w:fill="FFFFFF"/>
        </w:rPr>
        <w:t>”.</w:t>
      </w:r>
      <w:r w:rsidRPr="00957277">
        <w:rPr>
          <w:rFonts w:ascii="gobCL" w:hAnsi="gobCL" w:cs="Arial"/>
          <w:i/>
          <w:iCs/>
          <w:color w:val="1F497D" w:themeColor="text2"/>
          <w:sz w:val="24"/>
          <w:szCs w:val="24"/>
        </w:rPr>
        <w:t xml:space="preserve"> </w:t>
      </w:r>
    </w:p>
    <w:p w:rsidR="00957277" w:rsidRDefault="00957277" w:rsidP="00C45585">
      <w:pPr>
        <w:ind w:firstLine="708"/>
        <w:jc w:val="both"/>
        <w:rPr>
          <w:rFonts w:ascii="gobCL" w:hAnsi="gobCL" w:cs="Arial"/>
          <w:i/>
          <w:iCs/>
          <w:color w:val="1F497D" w:themeColor="text2"/>
          <w:sz w:val="24"/>
          <w:szCs w:val="24"/>
        </w:rPr>
      </w:pPr>
    </w:p>
    <w:p w:rsidR="00957277" w:rsidRPr="00957277" w:rsidRDefault="00957277" w:rsidP="00C45585">
      <w:pPr>
        <w:ind w:firstLine="708"/>
        <w:jc w:val="both"/>
        <w:rPr>
          <w:rFonts w:ascii="gobCL" w:eastAsia="Times New Roman" w:hAnsi="gobCL" w:cs="Times New Roman"/>
          <w:i/>
          <w:iCs/>
          <w:color w:val="1F497D" w:themeColor="text2"/>
          <w:sz w:val="24"/>
          <w:szCs w:val="24"/>
        </w:rPr>
      </w:pPr>
    </w:p>
    <w:p w:rsidR="003375B0" w:rsidRDefault="003375B0" w:rsidP="003375B0">
      <w:pPr>
        <w:pStyle w:val="Prrafodelista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La garantía a dejar por cada lote, debe ser expresada en pesos o en </w:t>
      </w:r>
      <w:proofErr w:type="gramStart"/>
      <w:r>
        <w:rPr>
          <w:rFonts w:eastAsia="Times New Roman"/>
        </w:rPr>
        <w:t>UTM ?</w:t>
      </w:r>
      <w:proofErr w:type="gramEnd"/>
    </w:p>
    <w:p w:rsidR="00957277" w:rsidRDefault="00957277" w:rsidP="00957277">
      <w:pPr>
        <w:pStyle w:val="Prrafodelista"/>
        <w:rPr>
          <w:rFonts w:eastAsia="Times New Roman"/>
        </w:rPr>
      </w:pPr>
    </w:p>
    <w:p w:rsidR="00957277" w:rsidRPr="00957277" w:rsidRDefault="00957277" w:rsidP="00957277">
      <w:pPr>
        <w:ind w:firstLine="708"/>
        <w:jc w:val="both"/>
        <w:rPr>
          <w:rFonts w:ascii="gobCL" w:eastAsia="Times New Roman" w:hAnsi="gobCL"/>
          <w:i/>
          <w:iCs/>
          <w:color w:val="1F497D" w:themeColor="text2"/>
          <w:sz w:val="24"/>
          <w:szCs w:val="24"/>
        </w:rPr>
      </w:pPr>
      <w:r w:rsidRPr="00957277">
        <w:rPr>
          <w:rFonts w:ascii="gobCL" w:hAnsi="gobCL"/>
          <w:color w:val="1F497D" w:themeColor="text2"/>
          <w:sz w:val="24"/>
          <w:szCs w:val="24"/>
        </w:rPr>
        <w:t xml:space="preserve">R.  </w:t>
      </w:r>
      <w:r w:rsidR="00C467CF">
        <w:rPr>
          <w:rFonts w:ascii="gobCL" w:hAnsi="gobCL"/>
          <w:color w:val="1F497D" w:themeColor="text2"/>
          <w:sz w:val="24"/>
          <w:szCs w:val="24"/>
        </w:rPr>
        <w:t xml:space="preserve">El monto de la garantía de seriedad de la oferta debe ser expresado </w:t>
      </w:r>
      <w:r w:rsidR="00C467CF" w:rsidRPr="0055326D">
        <w:rPr>
          <w:rFonts w:ascii="gobCL" w:hAnsi="gobCL"/>
          <w:b/>
          <w:bCs/>
          <w:color w:val="1F497D" w:themeColor="text2"/>
          <w:sz w:val="24"/>
          <w:szCs w:val="24"/>
        </w:rPr>
        <w:t>en pesos</w:t>
      </w:r>
      <w:r w:rsidR="00C467CF">
        <w:rPr>
          <w:rFonts w:ascii="gobCL" w:hAnsi="gobCL"/>
          <w:color w:val="1F497D" w:themeColor="text2"/>
          <w:sz w:val="24"/>
          <w:szCs w:val="24"/>
        </w:rPr>
        <w:t xml:space="preserve">. Sin perjuicio de lo anterior, podrá expresarse alternativamente en </w:t>
      </w:r>
      <w:r w:rsidR="00C467CF" w:rsidRPr="0055326D">
        <w:rPr>
          <w:rFonts w:ascii="gobCL" w:hAnsi="gobCL"/>
          <w:b/>
          <w:bCs/>
          <w:color w:val="1F497D" w:themeColor="text2"/>
          <w:sz w:val="24"/>
          <w:szCs w:val="24"/>
        </w:rPr>
        <w:t>Unidades de Fomento (U.F.)</w:t>
      </w:r>
      <w:r w:rsidR="00C467CF">
        <w:rPr>
          <w:rFonts w:ascii="gobCL" w:hAnsi="gobCL"/>
          <w:color w:val="1F497D" w:themeColor="text2"/>
          <w:sz w:val="24"/>
          <w:szCs w:val="24"/>
        </w:rPr>
        <w:t xml:space="preserve">, de conformidad con lo establecido en el inciso final del artículo 12 del </w:t>
      </w:r>
      <w:r w:rsidR="00C467CF" w:rsidRPr="003375B0">
        <w:rPr>
          <w:rFonts w:ascii="gobCL" w:hAnsi="gobCL" w:cs="Arial"/>
          <w:color w:val="1F497D" w:themeColor="text2"/>
          <w:sz w:val="24"/>
          <w:szCs w:val="24"/>
        </w:rPr>
        <w:t>D.S. N° 173, de 2013, del Ministerio de Economía, Fomento y Turismo y sus modificaciones</w:t>
      </w:r>
      <w:r w:rsidR="00C467CF">
        <w:rPr>
          <w:rFonts w:ascii="gobCL" w:hAnsi="gobCL" w:cs="Arial"/>
          <w:color w:val="1F497D" w:themeColor="text2"/>
          <w:sz w:val="24"/>
          <w:szCs w:val="24"/>
        </w:rPr>
        <w:t>, que establece que “</w:t>
      </w:r>
      <w:r w:rsidR="00C467CF" w:rsidRPr="00C467CF">
        <w:rPr>
          <w:rFonts w:ascii="gobCL" w:hAnsi="gobCL" w:cs="Arial"/>
          <w:i/>
          <w:iCs/>
          <w:color w:val="1F497D" w:themeColor="text2"/>
          <w:sz w:val="24"/>
          <w:szCs w:val="24"/>
        </w:rPr>
        <w:t>Podrá el instrumento bancario estar expresado en Unidades de Fomento, y en tal caso la equivalencia se hará conforme a la paridad del día de su emisión</w:t>
      </w:r>
      <w:r w:rsidR="00C467CF">
        <w:rPr>
          <w:rFonts w:ascii="gobCL" w:hAnsi="gobCL" w:cs="Arial"/>
          <w:color w:val="1F497D" w:themeColor="text2"/>
          <w:sz w:val="24"/>
          <w:szCs w:val="24"/>
        </w:rPr>
        <w:t>”.</w:t>
      </w:r>
    </w:p>
    <w:p w:rsidR="003375B0" w:rsidRDefault="003375B0" w:rsidP="003375B0">
      <w:pPr>
        <w:pStyle w:val="Prrafodelista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En vez de dejar varias boletas de garantías por ejemplo de $ 1.049.145 por cada sobre, se puede dejar una garantía general por ejemplo de 10 millones en el sobre 1 y que ese valor cubra las siguiente ofertas que irían sin boleta de garantía?</w:t>
      </w:r>
    </w:p>
    <w:p w:rsidR="00957277" w:rsidRPr="00957277" w:rsidRDefault="00957277" w:rsidP="00957277">
      <w:pPr>
        <w:pStyle w:val="Prrafodelista"/>
        <w:rPr>
          <w:rFonts w:eastAsia="Times New Roman"/>
        </w:rPr>
      </w:pPr>
    </w:p>
    <w:p w:rsidR="00B16A31" w:rsidRPr="00B16A31" w:rsidRDefault="00B16A31" w:rsidP="00B16A31">
      <w:pPr>
        <w:ind w:firstLine="708"/>
        <w:jc w:val="both"/>
        <w:rPr>
          <w:rFonts w:eastAsia="Times New Roman"/>
        </w:rPr>
      </w:pPr>
      <w:r w:rsidRPr="00B16A31">
        <w:rPr>
          <w:rFonts w:ascii="gobCL" w:hAnsi="gobCL"/>
          <w:color w:val="1F497D" w:themeColor="text2"/>
          <w:sz w:val="24"/>
          <w:szCs w:val="24"/>
        </w:rPr>
        <w:t xml:space="preserve">R.  </w:t>
      </w:r>
      <w:r>
        <w:rPr>
          <w:rFonts w:ascii="gobCL" w:hAnsi="gobCL"/>
          <w:color w:val="1F497D" w:themeColor="text2"/>
          <w:sz w:val="24"/>
          <w:szCs w:val="24"/>
        </w:rPr>
        <w:t>Sí, se puede.</w:t>
      </w:r>
    </w:p>
    <w:p w:rsidR="00957277" w:rsidRDefault="00957277" w:rsidP="00957277">
      <w:pPr>
        <w:pStyle w:val="Prrafodelista"/>
        <w:rPr>
          <w:rFonts w:eastAsia="Times New Roman"/>
        </w:rPr>
      </w:pPr>
    </w:p>
    <w:p w:rsidR="00957277" w:rsidRDefault="003375B0" w:rsidP="00957277">
      <w:pPr>
        <w:pStyle w:val="Prrafodelista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No me queda claro las </w:t>
      </w:r>
      <w:proofErr w:type="gramStart"/>
      <w:r>
        <w:rPr>
          <w:rFonts w:eastAsia="Times New Roman"/>
        </w:rPr>
        <w:t>fechas :</w:t>
      </w:r>
      <w:proofErr w:type="gramEnd"/>
    </w:p>
    <w:p w:rsidR="00C467CF" w:rsidRPr="00957277" w:rsidRDefault="00C467CF" w:rsidP="00C467CF">
      <w:pPr>
        <w:pStyle w:val="Prrafodelista"/>
        <w:rPr>
          <w:rFonts w:eastAsia="Times New Roman"/>
        </w:rPr>
      </w:pPr>
    </w:p>
    <w:p w:rsidR="003375B0" w:rsidRDefault="003375B0" w:rsidP="003375B0">
      <w:pPr>
        <w:pStyle w:val="Prrafodelista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 xml:space="preserve">Una vez adjudicado un lote el </w:t>
      </w:r>
      <w:proofErr w:type="spellStart"/>
      <w:r>
        <w:rPr>
          <w:rFonts w:eastAsia="Times New Roman"/>
        </w:rPr>
        <w:t>dia</w:t>
      </w:r>
      <w:proofErr w:type="spellEnd"/>
      <w:r>
        <w:rPr>
          <w:rFonts w:eastAsia="Times New Roman"/>
        </w:rPr>
        <w:t xml:space="preserve"> 28/12. </w:t>
      </w:r>
      <w:proofErr w:type="spellStart"/>
      <w:proofErr w:type="gramStart"/>
      <w:r>
        <w:rPr>
          <w:rFonts w:eastAsia="Times New Roman"/>
        </w:rPr>
        <w:t>Cual</w:t>
      </w:r>
      <w:proofErr w:type="spellEnd"/>
      <w:r>
        <w:rPr>
          <w:rFonts w:eastAsia="Times New Roman"/>
        </w:rPr>
        <w:t xml:space="preserve"> es la fecha límite para pagar primera cuota de la licitación por lote adjudicado?</w:t>
      </w:r>
      <w:proofErr w:type="gramEnd"/>
    </w:p>
    <w:p w:rsidR="00C467CF" w:rsidRDefault="00C467CF" w:rsidP="00C467CF">
      <w:pPr>
        <w:pStyle w:val="Prrafodelista"/>
        <w:ind w:left="1080"/>
        <w:rPr>
          <w:rFonts w:eastAsia="Times New Roman"/>
        </w:rPr>
      </w:pPr>
    </w:p>
    <w:p w:rsidR="00C467CF" w:rsidRPr="00B16A31" w:rsidRDefault="00C467CF" w:rsidP="00B16A31">
      <w:pPr>
        <w:ind w:firstLine="708"/>
        <w:jc w:val="both"/>
        <w:rPr>
          <w:rFonts w:eastAsia="Times New Roman"/>
        </w:rPr>
      </w:pPr>
      <w:r w:rsidRPr="00B16A31">
        <w:rPr>
          <w:rFonts w:ascii="gobCL" w:hAnsi="gobCL"/>
          <w:color w:val="1F497D" w:themeColor="text2"/>
          <w:sz w:val="24"/>
          <w:szCs w:val="24"/>
        </w:rPr>
        <w:t xml:space="preserve">R.  De conformidad con el </w:t>
      </w:r>
      <w:r w:rsidR="00B16A31">
        <w:rPr>
          <w:rFonts w:ascii="gobCL" w:hAnsi="gobCL"/>
          <w:color w:val="1F497D" w:themeColor="text2"/>
          <w:sz w:val="24"/>
          <w:szCs w:val="24"/>
        </w:rPr>
        <w:t xml:space="preserve">numeral 13 de las bases administrativas, en concordancia con el </w:t>
      </w:r>
      <w:r w:rsidRPr="00B16A31">
        <w:rPr>
          <w:rFonts w:ascii="gobCL" w:hAnsi="gobCL"/>
          <w:color w:val="1F497D" w:themeColor="text2"/>
          <w:sz w:val="24"/>
          <w:szCs w:val="24"/>
        </w:rPr>
        <w:t xml:space="preserve">artículo 17 </w:t>
      </w:r>
      <w:r w:rsidR="00B16A31" w:rsidRPr="00B16A31">
        <w:rPr>
          <w:rFonts w:ascii="gobCL" w:hAnsi="gobCL"/>
          <w:color w:val="1F497D" w:themeColor="text2"/>
          <w:sz w:val="24"/>
          <w:szCs w:val="24"/>
        </w:rPr>
        <w:t xml:space="preserve">del </w:t>
      </w:r>
      <w:r w:rsidR="00B16A31" w:rsidRPr="00B16A31">
        <w:rPr>
          <w:rFonts w:ascii="gobCL" w:hAnsi="gobCL" w:cs="Arial"/>
          <w:color w:val="1F497D" w:themeColor="text2"/>
          <w:sz w:val="24"/>
          <w:szCs w:val="24"/>
        </w:rPr>
        <w:t>D.S. N° 173, de 2013, del Ministerio de Economía, Fomento y Turismo y sus modificaciones</w:t>
      </w:r>
      <w:r w:rsidR="00B16A31" w:rsidRPr="00B16A31">
        <w:rPr>
          <w:rFonts w:ascii="gobCL" w:hAnsi="gobCL"/>
          <w:color w:val="1F497D" w:themeColor="text2"/>
          <w:sz w:val="24"/>
          <w:szCs w:val="24"/>
        </w:rPr>
        <w:t xml:space="preserve">, el adjudicatario </w:t>
      </w:r>
      <w:r w:rsidR="00B16A31" w:rsidRPr="0055326D">
        <w:rPr>
          <w:rFonts w:ascii="gobCL" w:hAnsi="gobCL"/>
          <w:b/>
          <w:bCs/>
          <w:color w:val="1F497D" w:themeColor="text2"/>
          <w:sz w:val="24"/>
          <w:szCs w:val="24"/>
        </w:rPr>
        <w:t>deberá pagar el monto correspondiente a la primera anualidad dentro de los quince días hábiles siguientes al día de la subasta</w:t>
      </w:r>
      <w:r w:rsidR="00B16A31" w:rsidRPr="00B16A31">
        <w:rPr>
          <w:rFonts w:ascii="gobCL" w:hAnsi="gobCL"/>
          <w:color w:val="1F497D" w:themeColor="text2"/>
          <w:sz w:val="24"/>
          <w:szCs w:val="24"/>
        </w:rPr>
        <w:t>.</w:t>
      </w:r>
    </w:p>
    <w:p w:rsidR="00C467CF" w:rsidRDefault="00C467CF" w:rsidP="00C467CF">
      <w:pPr>
        <w:pStyle w:val="Prrafodelista"/>
        <w:ind w:left="1080"/>
        <w:rPr>
          <w:rFonts w:eastAsia="Times New Roman"/>
        </w:rPr>
      </w:pPr>
    </w:p>
    <w:p w:rsidR="003375B0" w:rsidRDefault="003375B0" w:rsidP="003375B0">
      <w:pPr>
        <w:pStyle w:val="Prrafodelista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 xml:space="preserve">Se entiende que </w:t>
      </w:r>
      <w:proofErr w:type="gramStart"/>
      <w:r>
        <w:rPr>
          <w:rFonts w:eastAsia="Times New Roman"/>
        </w:rPr>
        <w:t>el valor de los lotes adjudicados se pueden</w:t>
      </w:r>
      <w:proofErr w:type="gramEnd"/>
      <w:r>
        <w:rPr>
          <w:rFonts w:eastAsia="Times New Roman"/>
        </w:rPr>
        <w:t xml:space="preserve"> pagar en tres cuotas. Cuales serían estas fechas y porcentaje del valor a pagar de cada </w:t>
      </w:r>
      <w:proofErr w:type="gramStart"/>
      <w:r>
        <w:rPr>
          <w:rFonts w:eastAsia="Times New Roman"/>
        </w:rPr>
        <w:t>cuota ??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( ejemplo</w:t>
      </w:r>
      <w:proofErr w:type="gramEnd"/>
      <w:r>
        <w:rPr>
          <w:rFonts w:eastAsia="Times New Roman"/>
        </w:rPr>
        <w:t xml:space="preserve">: se </w:t>
      </w:r>
      <w:proofErr w:type="spellStart"/>
      <w:r>
        <w:rPr>
          <w:rFonts w:eastAsia="Times New Roman"/>
        </w:rPr>
        <w:t>pága</w:t>
      </w:r>
      <w:proofErr w:type="spellEnd"/>
      <w:r>
        <w:rPr>
          <w:rFonts w:eastAsia="Times New Roman"/>
        </w:rPr>
        <w:t xml:space="preserve"> en tres cuotas iguales de 33.3333 % cada cuota ?.</w:t>
      </w:r>
    </w:p>
    <w:p w:rsidR="00CC0BED" w:rsidRDefault="00CC0BED" w:rsidP="00CC0BED">
      <w:pPr>
        <w:ind w:left="708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B16A31" w:rsidRPr="00B16A31" w:rsidRDefault="00B16A31" w:rsidP="00B16A31">
      <w:pPr>
        <w:ind w:firstLine="708"/>
        <w:jc w:val="both"/>
        <w:rPr>
          <w:rFonts w:eastAsia="Times New Roman"/>
        </w:rPr>
      </w:pPr>
      <w:r w:rsidRPr="00B16A31">
        <w:rPr>
          <w:rFonts w:ascii="gobCL" w:hAnsi="gobCL"/>
          <w:color w:val="1F497D" w:themeColor="text2"/>
          <w:sz w:val="24"/>
          <w:szCs w:val="24"/>
        </w:rPr>
        <w:t xml:space="preserve">R.  De conformidad con el </w:t>
      </w:r>
      <w:r>
        <w:rPr>
          <w:rFonts w:ascii="gobCL" w:hAnsi="gobCL"/>
          <w:color w:val="1F497D" w:themeColor="text2"/>
          <w:sz w:val="24"/>
          <w:szCs w:val="24"/>
        </w:rPr>
        <w:t xml:space="preserve">apartado </w:t>
      </w:r>
      <w:proofErr w:type="spellStart"/>
      <w:r>
        <w:rPr>
          <w:rFonts w:ascii="gobCL" w:hAnsi="gobCL"/>
          <w:color w:val="1F497D" w:themeColor="text2"/>
          <w:sz w:val="24"/>
          <w:szCs w:val="24"/>
        </w:rPr>
        <w:t>ii</w:t>
      </w:r>
      <w:proofErr w:type="spellEnd"/>
      <w:r>
        <w:rPr>
          <w:rFonts w:ascii="gobCL" w:hAnsi="gobCL"/>
          <w:color w:val="1F497D" w:themeColor="text2"/>
          <w:sz w:val="24"/>
          <w:szCs w:val="24"/>
        </w:rPr>
        <w:t xml:space="preserve">. del numeral 7° de las bases administrativas, en concordancia con el </w:t>
      </w:r>
      <w:r w:rsidRPr="00B16A31">
        <w:rPr>
          <w:rFonts w:ascii="gobCL" w:hAnsi="gobCL"/>
          <w:color w:val="1F497D" w:themeColor="text2"/>
          <w:sz w:val="24"/>
          <w:szCs w:val="24"/>
        </w:rPr>
        <w:t>artículo 1</w:t>
      </w:r>
      <w:r>
        <w:rPr>
          <w:rFonts w:ascii="gobCL" w:hAnsi="gobCL"/>
          <w:color w:val="1F497D" w:themeColor="text2"/>
          <w:sz w:val="24"/>
          <w:szCs w:val="24"/>
        </w:rPr>
        <w:t>6</w:t>
      </w:r>
      <w:r w:rsidRPr="00B16A31">
        <w:rPr>
          <w:rFonts w:ascii="gobCL" w:hAnsi="gobCL"/>
          <w:color w:val="1F497D" w:themeColor="text2"/>
          <w:sz w:val="24"/>
          <w:szCs w:val="24"/>
        </w:rPr>
        <w:t xml:space="preserve"> del </w:t>
      </w:r>
      <w:r w:rsidRPr="00B16A31">
        <w:rPr>
          <w:rFonts w:ascii="gobCL" w:hAnsi="gobCL" w:cs="Arial"/>
          <w:color w:val="1F497D" w:themeColor="text2"/>
          <w:sz w:val="24"/>
          <w:szCs w:val="24"/>
        </w:rPr>
        <w:t>D.S. N° 173, de 2013, del Ministerio de Economía, Fomento y Turismo y sus modificaciones</w:t>
      </w:r>
      <w:r w:rsidRPr="00B16A31">
        <w:rPr>
          <w:rFonts w:ascii="gobCL" w:hAnsi="gobCL"/>
          <w:color w:val="1F497D" w:themeColor="text2"/>
          <w:sz w:val="24"/>
          <w:szCs w:val="24"/>
        </w:rPr>
        <w:t xml:space="preserve">, </w:t>
      </w:r>
      <w:r>
        <w:rPr>
          <w:rFonts w:ascii="gobCL" w:hAnsi="gobCL"/>
          <w:color w:val="1F497D" w:themeColor="text2"/>
          <w:sz w:val="24"/>
          <w:szCs w:val="24"/>
        </w:rPr>
        <w:t xml:space="preserve">el monto total expresado en U.T.M. de cada oferta adjudicada </w:t>
      </w:r>
      <w:r w:rsidRPr="0055326D">
        <w:rPr>
          <w:rFonts w:ascii="gobCL" w:hAnsi="gobCL"/>
          <w:b/>
          <w:bCs/>
          <w:color w:val="1F497D" w:themeColor="text2"/>
          <w:sz w:val="24"/>
          <w:szCs w:val="24"/>
        </w:rPr>
        <w:t>se dividirá en tres anualidades iguales</w:t>
      </w:r>
      <w:r>
        <w:rPr>
          <w:rFonts w:ascii="gobCL" w:hAnsi="gobCL"/>
          <w:color w:val="1F497D" w:themeColor="text2"/>
          <w:sz w:val="24"/>
          <w:szCs w:val="24"/>
        </w:rPr>
        <w:t xml:space="preserve">. Los pagos se efectuarán en el </w:t>
      </w:r>
      <w:r w:rsidRPr="0055326D">
        <w:rPr>
          <w:rFonts w:ascii="gobCL" w:hAnsi="gobCL"/>
          <w:b/>
          <w:bCs/>
          <w:color w:val="1F497D" w:themeColor="text2"/>
          <w:sz w:val="24"/>
          <w:szCs w:val="24"/>
        </w:rPr>
        <w:t>mes de julio de cada año calendario</w:t>
      </w:r>
      <w:r>
        <w:rPr>
          <w:rFonts w:ascii="gobCL" w:hAnsi="gobCL"/>
          <w:color w:val="1F497D" w:themeColor="text2"/>
          <w:sz w:val="24"/>
          <w:szCs w:val="24"/>
        </w:rPr>
        <w:t xml:space="preserve">, </w:t>
      </w:r>
      <w:r w:rsidRPr="0055326D">
        <w:rPr>
          <w:rFonts w:ascii="gobCL" w:hAnsi="gobCL"/>
          <w:b/>
          <w:bCs/>
          <w:color w:val="1F497D" w:themeColor="text2"/>
          <w:sz w:val="24"/>
          <w:szCs w:val="24"/>
        </w:rPr>
        <w:t>sin perjuicio de que el primero de estos pagos deberá efectuarse dentro de los quince días hábiles siguientes al de su adjudicación</w:t>
      </w:r>
      <w:r>
        <w:rPr>
          <w:rFonts w:ascii="gobCL" w:hAnsi="gobCL"/>
          <w:color w:val="1F497D" w:themeColor="text2"/>
          <w:sz w:val="24"/>
          <w:szCs w:val="24"/>
        </w:rPr>
        <w:t>.</w:t>
      </w:r>
    </w:p>
    <w:sectPr w:rsidR="00B16A31" w:rsidRPr="00B16A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80AE4"/>
    <w:multiLevelType w:val="hybridMultilevel"/>
    <w:tmpl w:val="E07EF312"/>
    <w:lvl w:ilvl="0" w:tplc="340A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133DD"/>
    <w:multiLevelType w:val="hybridMultilevel"/>
    <w:tmpl w:val="FEA0C7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B2DF2"/>
    <w:multiLevelType w:val="hybridMultilevel"/>
    <w:tmpl w:val="C90A299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16FBA"/>
    <w:multiLevelType w:val="hybridMultilevel"/>
    <w:tmpl w:val="28DE20CE"/>
    <w:lvl w:ilvl="0" w:tplc="340A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A733F"/>
    <w:multiLevelType w:val="hybridMultilevel"/>
    <w:tmpl w:val="33BE70D2"/>
    <w:lvl w:ilvl="0" w:tplc="7DD60230">
      <w:start w:val="1"/>
      <w:numFmt w:val="lowerLetter"/>
      <w:lvlText w:val="%1)"/>
      <w:lvlJc w:val="left"/>
      <w:pPr>
        <w:ind w:left="1080" w:hanging="360"/>
      </w:p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121518"/>
    <w:multiLevelType w:val="hybridMultilevel"/>
    <w:tmpl w:val="D618158E"/>
    <w:lvl w:ilvl="0" w:tplc="53541818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B3B"/>
    <w:rsid w:val="000D5038"/>
    <w:rsid w:val="00193B3B"/>
    <w:rsid w:val="00211C89"/>
    <w:rsid w:val="00233C00"/>
    <w:rsid w:val="00237D10"/>
    <w:rsid w:val="003375B0"/>
    <w:rsid w:val="00344BF2"/>
    <w:rsid w:val="005046D6"/>
    <w:rsid w:val="0055326D"/>
    <w:rsid w:val="005552F7"/>
    <w:rsid w:val="00690708"/>
    <w:rsid w:val="00751A27"/>
    <w:rsid w:val="00842DC0"/>
    <w:rsid w:val="00903E56"/>
    <w:rsid w:val="00931958"/>
    <w:rsid w:val="00957277"/>
    <w:rsid w:val="00972A30"/>
    <w:rsid w:val="00A13F07"/>
    <w:rsid w:val="00A87396"/>
    <w:rsid w:val="00B16A31"/>
    <w:rsid w:val="00B42AE7"/>
    <w:rsid w:val="00B52BDD"/>
    <w:rsid w:val="00C45585"/>
    <w:rsid w:val="00C467CF"/>
    <w:rsid w:val="00CA3746"/>
    <w:rsid w:val="00CC0BED"/>
    <w:rsid w:val="00E510E9"/>
    <w:rsid w:val="00E75AA1"/>
    <w:rsid w:val="00F0749B"/>
    <w:rsid w:val="00FE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337106"/>
  <w15:docId w15:val="{1A20B496-7DE1-4AE9-ABCE-BA30CA33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3B3B"/>
    <w:pPr>
      <w:spacing w:after="0" w:line="240" w:lineRule="auto"/>
      <w:ind w:left="720"/>
    </w:pPr>
    <w:rPr>
      <w:rFonts w:ascii="Calibri" w:hAnsi="Calibri" w:cs="Times New Roman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751A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1A2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1A2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1A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1A2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1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1A27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233C00"/>
    <w:rPr>
      <w:color w:val="0000FF" w:themeColor="hyperlink"/>
      <w:u w:val="single"/>
    </w:rPr>
  </w:style>
  <w:style w:type="paragraph" w:styleId="Textoindependiente3">
    <w:name w:val="Body Text 3"/>
    <w:basedOn w:val="Normal"/>
    <w:link w:val="Textoindependiente3Car"/>
    <w:semiHidden/>
    <w:rsid w:val="00CC0BED"/>
    <w:pPr>
      <w:widowControl w:val="0"/>
      <w:tabs>
        <w:tab w:val="left" w:pos="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napToGrid w:val="0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C0BED"/>
    <w:rPr>
      <w:rFonts w:ascii="Times New Roman" w:eastAsia="Times New Roman" w:hAnsi="Times New Roman" w:cs="Times New Roman"/>
      <w:noProof/>
      <w:snapToGrid w:val="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bastapublica@subpesca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663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Valdivia</dc:creator>
  <cp:lastModifiedBy>Nicolas Valdivia</cp:lastModifiedBy>
  <cp:revision>4</cp:revision>
  <cp:lastPrinted>2022-12-21T19:40:00Z</cp:lastPrinted>
  <dcterms:created xsi:type="dcterms:W3CDTF">2022-12-21T19:39:00Z</dcterms:created>
  <dcterms:modified xsi:type="dcterms:W3CDTF">2022-12-21T19:56:00Z</dcterms:modified>
</cp:coreProperties>
</file>