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77" w:rsidRPr="009730F6" w:rsidRDefault="00B64377" w:rsidP="008D3193">
      <w:pPr>
        <w:spacing w:after="0" w:line="240" w:lineRule="auto"/>
        <w:jc w:val="both"/>
        <w:rPr>
          <w:rFonts w:ascii="gobCL" w:hAnsi="gobCL"/>
          <w:b/>
          <w:sz w:val="24"/>
          <w:szCs w:val="24"/>
          <w:u w:val="single"/>
          <w:lang w:eastAsia="es-CL"/>
        </w:rPr>
      </w:pPr>
      <w:r w:rsidRPr="009730F6">
        <w:rPr>
          <w:rFonts w:ascii="gobCL" w:hAnsi="gobCL"/>
          <w:b/>
          <w:sz w:val="24"/>
          <w:szCs w:val="24"/>
          <w:u w:val="single"/>
          <w:lang w:eastAsia="es-CL"/>
        </w:rPr>
        <w:t>ACLARACIONES A BASES ADMINISTRATIVAS SUBASTA LICENCIA TRANSABLE DE PESCA TIPO B</w:t>
      </w:r>
    </w:p>
    <w:p w:rsidR="00B64377" w:rsidRPr="009730F6" w:rsidRDefault="00B64377" w:rsidP="008D3193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</w:p>
    <w:p w:rsidR="00B64377" w:rsidRDefault="00B64377" w:rsidP="008D3193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  <w:r w:rsidRPr="009730F6">
        <w:rPr>
          <w:rFonts w:ascii="gobCL" w:hAnsi="gobCL"/>
          <w:b/>
          <w:sz w:val="24"/>
          <w:szCs w:val="24"/>
          <w:lang w:eastAsia="es-CL"/>
        </w:rPr>
        <w:t xml:space="preserve">Aclaraciones a las bases dirigidas al correo electrónico </w:t>
      </w:r>
      <w:hyperlink r:id="rId7" w:history="1">
        <w:r w:rsidRPr="009730F6">
          <w:rPr>
            <w:rFonts w:ascii="gobCL" w:hAnsi="gobCL"/>
            <w:b/>
            <w:sz w:val="24"/>
            <w:szCs w:val="24"/>
            <w:lang w:eastAsia="es-CL"/>
          </w:rPr>
          <w:t>subastapublica@subpesca.cl</w:t>
        </w:r>
      </w:hyperlink>
      <w:r w:rsidRPr="009730F6">
        <w:rPr>
          <w:rFonts w:ascii="gobCL" w:hAnsi="gobCL"/>
          <w:b/>
          <w:sz w:val="24"/>
          <w:szCs w:val="24"/>
          <w:lang w:eastAsia="es-CL"/>
        </w:rPr>
        <w:t xml:space="preserve"> a la fecha de </w:t>
      </w:r>
      <w:r w:rsidR="00BC2FF9">
        <w:rPr>
          <w:rFonts w:ascii="gobCL" w:hAnsi="gobCL"/>
          <w:b/>
          <w:sz w:val="24"/>
          <w:szCs w:val="24"/>
          <w:lang w:eastAsia="es-CL"/>
        </w:rPr>
        <w:t>01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</w:t>
      </w:r>
      <w:r w:rsidR="00BC2FF9">
        <w:rPr>
          <w:rFonts w:ascii="gobCL" w:hAnsi="gobCL"/>
          <w:b/>
          <w:sz w:val="24"/>
          <w:szCs w:val="24"/>
          <w:lang w:eastAsia="es-CL"/>
        </w:rPr>
        <w:t>diciembre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de 20</w:t>
      </w:r>
      <w:r>
        <w:rPr>
          <w:rFonts w:ascii="gobCL" w:hAnsi="gobCL"/>
          <w:b/>
          <w:sz w:val="24"/>
          <w:szCs w:val="24"/>
          <w:lang w:eastAsia="es-CL"/>
        </w:rPr>
        <w:t>21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, según el orden de llegada y dentro del plazo de </w:t>
      </w:r>
      <w:r>
        <w:rPr>
          <w:rFonts w:ascii="gobCL" w:hAnsi="gobCL"/>
          <w:b/>
          <w:sz w:val="24"/>
          <w:szCs w:val="24"/>
          <w:lang w:eastAsia="es-CL"/>
        </w:rPr>
        <w:t>3 día hábiles</w:t>
      </w:r>
      <w:r w:rsidRPr="009730F6">
        <w:rPr>
          <w:rFonts w:ascii="gobCL" w:hAnsi="gobCL"/>
          <w:b/>
          <w:sz w:val="24"/>
          <w:szCs w:val="24"/>
          <w:lang w:eastAsia="es-CL"/>
        </w:rPr>
        <w:t xml:space="preserve"> </w:t>
      </w:r>
      <w:r>
        <w:rPr>
          <w:rFonts w:ascii="gobCL" w:hAnsi="gobCL"/>
          <w:b/>
          <w:sz w:val="24"/>
          <w:szCs w:val="24"/>
          <w:lang w:eastAsia="es-CL"/>
        </w:rPr>
        <w:t>administrativos.</w:t>
      </w:r>
    </w:p>
    <w:p w:rsidR="008D3193" w:rsidRDefault="008D3193" w:rsidP="008D3193">
      <w:pPr>
        <w:spacing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</w:p>
    <w:p w:rsidR="00B64377" w:rsidRDefault="00B64377" w:rsidP="008D319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bCL" w:hAnsi="gobCL"/>
        </w:rPr>
      </w:pPr>
      <w:r w:rsidRPr="008D3193">
        <w:rPr>
          <w:rFonts w:ascii="gobCL" w:hAnsi="gobCL"/>
        </w:rPr>
        <w:t xml:space="preserve">Escribo para consultar respecto a los requisitos documentales para lotes sin restricción oferente. 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proofErr w:type="gram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De acuerdo al</w:t>
      </w:r>
      <w:proofErr w:type="gram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 punto 8 de las bases administrativas aprobadas mediante Resolución Exenta </w:t>
      </w: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N°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 3053 de 2021</w:t>
      </w:r>
      <w:r w:rsidR="002516C6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, l</w:t>
      </w: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as personas naturales o jurídicas que participen en la subasta, en los </w:t>
      </w:r>
      <w:r w:rsidRPr="008D3193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lotes sin restricción de oferentes</w:t>
      </w: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, deberán cumplir con los siguientes requisitos: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Persona Natural: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Entregar la o las garantías de seriedad de la oferta.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i)  vale </w:t>
      </w:r>
      <w:proofErr w:type="gram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vista bancario</w:t>
      </w:r>
      <w:proofErr w:type="gram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.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ii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) boleta bancaria de garantía pagadera a la vista 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iii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) póliza de seguro con cláusula de ejecución inmediata y sin liquidador, emitidos por un banco o compañía de seguros establecido en Chile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A nombre de la </w:t>
      </w:r>
      <w:r w:rsidRPr="008D3193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Subsecretaría de Pesca y Acuicultura</w:t>
      </w: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, con vigencia de lo menos 2 meses contados desde la fecha de la subasta.</w:t>
      </w:r>
    </w:p>
    <w:p w:rsidR="00B64377" w:rsidRPr="008D3193" w:rsidRDefault="00B64377" w:rsidP="008D3193">
      <w:pPr>
        <w:pStyle w:val="Prrafodelista"/>
        <w:spacing w:line="240" w:lineRule="auto"/>
        <w:jc w:val="both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Declaración jurada ante notario en que quede constancia que la persona natural que participa no tiene relación directa a través de terceras personas con otros participantes de la subasta como filial, matriz, coligada o coligante. 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7426B9" w:rsidRDefault="007426B9" w:rsidP="007426B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7426B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Acompañar copia de los antecedentes que permitan acreditar el cumplimiento de los requisitos señalados en las letras a) o b), según corresponda, del numeral 4 de las presentes bases. Bastando para estos efectos un</w:t>
      </w:r>
      <w:r w:rsidRPr="007426B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a fotocopia simple de cédula de identidad.</w:t>
      </w:r>
    </w:p>
    <w:p w:rsidR="007426B9" w:rsidRPr="008D3193" w:rsidRDefault="007426B9" w:rsidP="007426B9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Persona Jurídica: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Acreditar la personería del representante legal de la persona jurídica que presenta las ofertas, la cual deberá tener una vigencia no superior a 6 meses.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Entregar la o las garantías de seriedad de la oferta.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i)  vale </w:t>
      </w:r>
      <w:proofErr w:type="gram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vista bancario</w:t>
      </w:r>
      <w:proofErr w:type="gramEnd"/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ii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) boleta bancaria de garantía pagadera a la vista 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iii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) póliza de seguro con cláusula de ejecución inmediata y sin liquidador, emitidos por un banco o compañía de seguros establecido en Chile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lastRenderedPageBreak/>
        <w:t xml:space="preserve">A nombre de la </w:t>
      </w:r>
      <w:r w:rsidRPr="008D3193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Subsecretaría de Pesca y Acuicultura</w:t>
      </w: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, con vigencia de lo menos 2 meses contados desde la fecha de la subasta.</w:t>
      </w:r>
    </w:p>
    <w:p w:rsidR="00B64377" w:rsidRPr="008D3193" w:rsidRDefault="00B64377" w:rsidP="008D319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B64377" w:rsidRPr="008D3193" w:rsidRDefault="00B64377" w:rsidP="008D3193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Declaración jurada ante notario en que quede constancia que la persona </w:t>
      </w:r>
      <w:r w:rsidR="00E66A0B"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jurídica </w:t>
      </w: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que participa no tiene relación directa a través de terceras personas con otros participantes de la subasta como filial, matriz, coligada o coligante. </w:t>
      </w:r>
    </w:p>
    <w:p w:rsidR="00B64377" w:rsidRPr="008D3193" w:rsidRDefault="00B64377" w:rsidP="008D319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7426B9" w:rsidRPr="007426B9" w:rsidRDefault="007426B9" w:rsidP="007426B9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7426B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Acompañar copia de los antecedentes que permitan acreditar el cumplimiento de los requisitos señalados en las letras a) o b), según co</w:t>
      </w:r>
      <w:bookmarkStart w:id="0" w:name="_GoBack"/>
      <w:bookmarkEnd w:id="0"/>
      <w:r w:rsidRPr="007426B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rresponda, del numeral 4 de las presentes bases. Bastando para estos efectos un </w:t>
      </w:r>
      <w:r w:rsidRPr="008A1781">
        <w:rPr>
          <w:rFonts w:ascii="gobCL" w:eastAsia="Times New Roman" w:hAnsi="gobCL" w:cs="Arial"/>
          <w:b/>
          <w:color w:val="2F5496" w:themeColor="accent1" w:themeShade="BF"/>
          <w:u w:val="single"/>
          <w:lang w:val="es-ES_tradnl" w:eastAsia="es-ES"/>
        </w:rPr>
        <w:t>certificado de vigencia de sociedad con una validez no superior a 6 meses</w:t>
      </w:r>
      <w:r w:rsidRPr="007426B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.</w:t>
      </w:r>
    </w:p>
    <w:p w:rsidR="002517AC" w:rsidRPr="008D3193" w:rsidRDefault="002517AC" w:rsidP="008D3193">
      <w:pPr>
        <w:pStyle w:val="Prrafodelista"/>
        <w:spacing w:line="240" w:lineRule="auto"/>
        <w:jc w:val="both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2517AC" w:rsidRDefault="002517AC" w:rsidP="008D3193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En el caso que hubiera capital extranjero y que sea titular de autorizaciones de pesca, se entenderá acreditada la mencionada inversión, acompañando copia de autorizaciones de pesca vigente, debidamente autorizadas ante notario y de su respectiva inscripción vigente en el </w:t>
      </w:r>
      <w:proofErr w:type="spellStart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RPI</w:t>
      </w:r>
      <w:proofErr w:type="spellEnd"/>
      <w:r w:rsidRPr="008D3193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, con una vigencia no mayor a 30 días hábiles.</w:t>
      </w:r>
    </w:p>
    <w:p w:rsidR="00395A1D" w:rsidRPr="00395A1D" w:rsidRDefault="00395A1D" w:rsidP="00395A1D">
      <w:pPr>
        <w:pStyle w:val="Prrafodelista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p w:rsidR="00395A1D" w:rsidRPr="00BC2FF9" w:rsidRDefault="00BC2FF9" w:rsidP="00BC2F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bCL" w:hAnsi="gobCL"/>
        </w:rPr>
      </w:pPr>
      <w:r>
        <w:rPr>
          <w:rFonts w:ascii="gobCL" w:hAnsi="gobCL"/>
        </w:rPr>
        <w:t>S</w:t>
      </w:r>
      <w:r w:rsidR="00395A1D" w:rsidRPr="00BC2FF9">
        <w:rPr>
          <w:rFonts w:ascii="gobCL" w:hAnsi="gobCL"/>
        </w:rPr>
        <w:t xml:space="preserve">oy la </w:t>
      </w:r>
      <w:r w:rsidRPr="00BC2FF9">
        <w:rPr>
          <w:rFonts w:ascii="gobCL" w:hAnsi="gobCL"/>
        </w:rPr>
        <w:t>armadora</w:t>
      </w:r>
      <w:r>
        <w:rPr>
          <w:rFonts w:ascii="Calibri" w:hAnsi="Calibri" w:cs="Calibri"/>
        </w:rPr>
        <w:t xml:space="preserve"> </w:t>
      </w:r>
      <w:r w:rsidRPr="00BC2FF9">
        <w:rPr>
          <w:rFonts w:ascii="gobCL" w:hAnsi="gobCL"/>
        </w:rPr>
        <w:t>de</w:t>
      </w:r>
      <w:r w:rsidR="00395A1D" w:rsidRPr="00BC2FF9">
        <w:rPr>
          <w:rFonts w:ascii="gobCL" w:hAnsi="gobCL"/>
        </w:rPr>
        <w:t xml:space="preserve"> la embarcación </w:t>
      </w:r>
      <w:r w:rsidR="00241A3E" w:rsidRPr="00BC2FF9">
        <w:rPr>
          <w:rFonts w:ascii="gobCL" w:hAnsi="gobCL"/>
        </w:rPr>
        <w:t>LASCAR II</w:t>
      </w:r>
      <w:r>
        <w:rPr>
          <w:rFonts w:ascii="Calibri" w:hAnsi="Calibri" w:cs="Calibri"/>
        </w:rPr>
        <w:t xml:space="preserve"> </w:t>
      </w:r>
      <w:r w:rsidRPr="00BC2FF9">
        <w:rPr>
          <w:rFonts w:ascii="gobCL" w:hAnsi="gobCL"/>
        </w:rPr>
        <w:t>matrícula</w:t>
      </w:r>
      <w:r w:rsidR="00395A1D" w:rsidRPr="00BC2FF9">
        <w:rPr>
          <w:rFonts w:ascii="gobCL" w:hAnsi="gobCL"/>
        </w:rPr>
        <w:t xml:space="preserve"> 3353 de la </w:t>
      </w:r>
      <w:r w:rsidRPr="00BC2FF9">
        <w:rPr>
          <w:rFonts w:ascii="gobCL" w:hAnsi="gobCL"/>
        </w:rPr>
        <w:t>R</w:t>
      </w:r>
      <w:r w:rsidR="00395A1D" w:rsidRPr="00BC2FF9">
        <w:rPr>
          <w:rFonts w:ascii="gobCL" w:hAnsi="gobCL"/>
        </w:rPr>
        <w:t xml:space="preserve">egión de los </w:t>
      </w:r>
      <w:r w:rsidRPr="00BC2FF9">
        <w:rPr>
          <w:rFonts w:ascii="gobCL" w:hAnsi="gobCL"/>
        </w:rPr>
        <w:t>R</w:t>
      </w:r>
      <w:r w:rsidR="00395A1D" w:rsidRPr="00BC2FF9">
        <w:rPr>
          <w:rFonts w:ascii="gobCL" w:hAnsi="gobCL"/>
        </w:rPr>
        <w:t>íos.</w:t>
      </w:r>
      <w:r>
        <w:rPr>
          <w:rFonts w:ascii="gobCL" w:hAnsi="gobCL"/>
        </w:rPr>
        <w:t xml:space="preserve"> </w:t>
      </w:r>
      <w:r w:rsidR="00395A1D" w:rsidRPr="00BC2FF9">
        <w:rPr>
          <w:rFonts w:ascii="gobCL" w:hAnsi="gobCL"/>
        </w:rPr>
        <w:t xml:space="preserve">Mi consulta es si podemos postular a esta dicha subasta ya que nosotros somos una embarcación nueva y a su vez empezamos a </w:t>
      </w:r>
      <w:r w:rsidRPr="00BC2FF9">
        <w:rPr>
          <w:rFonts w:ascii="gobCL" w:hAnsi="gobCL"/>
        </w:rPr>
        <w:t>realizar</w:t>
      </w:r>
      <w:r>
        <w:rPr>
          <w:rFonts w:ascii="Calibri" w:hAnsi="Calibri" w:cs="Calibri"/>
        </w:rPr>
        <w:t xml:space="preserve"> </w:t>
      </w:r>
      <w:r w:rsidRPr="00BC2FF9">
        <w:rPr>
          <w:rFonts w:ascii="gobCL" w:hAnsi="gobCL"/>
        </w:rPr>
        <w:t>facturas</w:t>
      </w:r>
      <w:r w:rsidR="00395A1D" w:rsidRPr="00BC2FF9">
        <w:rPr>
          <w:rFonts w:ascii="gobCL" w:hAnsi="gobCL"/>
        </w:rPr>
        <w:t xml:space="preserve"> en el sistema a contar de octubre del presente año. De ser así quisiéramos saber si podríamos postular a esta </w:t>
      </w:r>
      <w:r w:rsidRPr="00BC2FF9">
        <w:rPr>
          <w:rFonts w:ascii="gobCL" w:hAnsi="gobCL"/>
        </w:rPr>
        <w:t>dicha</w:t>
      </w:r>
      <w:r>
        <w:rPr>
          <w:rFonts w:ascii="Calibri" w:hAnsi="Calibri" w:cs="Calibri"/>
        </w:rPr>
        <w:t xml:space="preserve"> </w:t>
      </w:r>
      <w:r w:rsidRPr="00BC2FF9">
        <w:rPr>
          <w:rFonts w:ascii="gobCL" w:hAnsi="gobCL"/>
        </w:rPr>
        <w:t>subasta</w:t>
      </w:r>
      <w:r w:rsidR="00395A1D" w:rsidRPr="00BC2FF9">
        <w:rPr>
          <w:rFonts w:ascii="gobCL" w:hAnsi="gobCL"/>
        </w:rPr>
        <w:t xml:space="preserve"> y a su vez poder postular antes de la fecha estipulada.</w:t>
      </w:r>
    </w:p>
    <w:p w:rsidR="00BC2FF9" w:rsidRDefault="00BC2FF9" w:rsidP="00395A1D">
      <w:pPr>
        <w:spacing w:line="240" w:lineRule="auto"/>
        <w:ind w:left="360"/>
        <w:jc w:val="both"/>
        <w:rPr>
          <w:rFonts w:ascii="gobCL" w:hAnsi="gobCL"/>
          <w:b/>
          <w:lang w:eastAsia="es-CL"/>
        </w:rPr>
      </w:pPr>
    </w:p>
    <w:p w:rsidR="00BC2FF9" w:rsidRPr="00BC2FF9" w:rsidRDefault="007426B9" w:rsidP="00BC2FF9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  <w:r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S</w:t>
      </w:r>
      <w:r w:rsidR="00BC2FF9"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olo </w:t>
      </w:r>
      <w:r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podría participar </w:t>
      </w:r>
      <w:r w:rsidR="00BC2FF9"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a los lotes sin restricción de oferente, toda vez </w:t>
      </w:r>
      <w:r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que,</w:t>
      </w:r>
      <w:r w:rsidR="00BC2FF9"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 para postular a los lotes reservados a empresas de menor tamaño, se </w:t>
      </w:r>
      <w:r w:rsidR="00BC2FF9"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>deberán presentar copia autorizada ante Notario de las declaraciones de IVA presentadas al Servicio de Impuestos Internos para el año calendario 2020</w:t>
      </w:r>
      <w:r w:rsidR="00BC2FF9" w:rsidRPr="00BC2FF9"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  <w:t xml:space="preserve"> (12 meses, año 2020).</w:t>
      </w:r>
    </w:p>
    <w:p w:rsidR="00BC2FF9" w:rsidRPr="00395A1D" w:rsidRDefault="00BC2FF9" w:rsidP="00395A1D">
      <w:pPr>
        <w:spacing w:line="240" w:lineRule="auto"/>
        <w:ind w:left="360"/>
        <w:jc w:val="both"/>
        <w:rPr>
          <w:rFonts w:ascii="gobCL" w:hAnsi="gobCL"/>
          <w:b/>
          <w:lang w:eastAsia="es-CL"/>
        </w:rPr>
      </w:pPr>
    </w:p>
    <w:p w:rsidR="00395A1D" w:rsidRPr="00395A1D" w:rsidRDefault="00395A1D" w:rsidP="00395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obCL" w:eastAsia="Times New Roman" w:hAnsi="gobCL" w:cs="Arial"/>
          <w:b/>
          <w:color w:val="2F5496" w:themeColor="accent1" w:themeShade="BF"/>
          <w:lang w:val="es-ES_tradnl" w:eastAsia="es-ES"/>
        </w:rPr>
      </w:pPr>
    </w:p>
    <w:sectPr w:rsidR="00395A1D" w:rsidRPr="00395A1D" w:rsidSect="008D3193">
      <w:footerReference w:type="default" r:id="rId8"/>
      <w:pgSz w:w="12240" w:h="18720" w:code="14"/>
      <w:pgMar w:top="851" w:right="1191" w:bottom="2552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AE" w:rsidRDefault="00675DAE" w:rsidP="00675DAE">
      <w:pPr>
        <w:spacing w:after="0" w:line="240" w:lineRule="auto"/>
      </w:pPr>
      <w:r>
        <w:separator/>
      </w:r>
    </w:p>
  </w:endnote>
  <w:endnote w:type="continuationSeparator" w:id="0">
    <w:p w:rsidR="00675DAE" w:rsidRDefault="00675DAE" w:rsidP="006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921753"/>
      <w:docPartObj>
        <w:docPartGallery w:val="Page Numbers (Bottom of Page)"/>
        <w:docPartUnique/>
      </w:docPartObj>
    </w:sdtPr>
    <w:sdtEndPr/>
    <w:sdtContent>
      <w:p w:rsidR="00675DAE" w:rsidRDefault="00675D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75DAE" w:rsidRDefault="00675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AE" w:rsidRDefault="00675DAE" w:rsidP="00675DAE">
      <w:pPr>
        <w:spacing w:after="0" w:line="240" w:lineRule="auto"/>
      </w:pPr>
      <w:r>
        <w:separator/>
      </w:r>
    </w:p>
  </w:footnote>
  <w:footnote w:type="continuationSeparator" w:id="0">
    <w:p w:rsidR="00675DAE" w:rsidRDefault="00675DAE" w:rsidP="0067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B83"/>
    <w:multiLevelType w:val="hybridMultilevel"/>
    <w:tmpl w:val="C390F2CE"/>
    <w:lvl w:ilvl="0" w:tplc="0FB615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D5988"/>
    <w:multiLevelType w:val="hybridMultilevel"/>
    <w:tmpl w:val="03F054E0"/>
    <w:lvl w:ilvl="0" w:tplc="5FAC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E36EB"/>
    <w:multiLevelType w:val="hybridMultilevel"/>
    <w:tmpl w:val="1B167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45B"/>
    <w:multiLevelType w:val="hybridMultilevel"/>
    <w:tmpl w:val="34DE7942"/>
    <w:lvl w:ilvl="0" w:tplc="5D608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32F6"/>
    <w:multiLevelType w:val="hybridMultilevel"/>
    <w:tmpl w:val="57583662"/>
    <w:lvl w:ilvl="0" w:tplc="45E02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F1F36"/>
    <w:multiLevelType w:val="hybridMultilevel"/>
    <w:tmpl w:val="E110C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3385"/>
    <w:multiLevelType w:val="hybridMultilevel"/>
    <w:tmpl w:val="0E926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2192"/>
    <w:multiLevelType w:val="hybridMultilevel"/>
    <w:tmpl w:val="050CF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77"/>
    <w:rsid w:val="00241A3E"/>
    <w:rsid w:val="002516C6"/>
    <w:rsid w:val="002517AC"/>
    <w:rsid w:val="00395A1D"/>
    <w:rsid w:val="00402228"/>
    <w:rsid w:val="00675DAE"/>
    <w:rsid w:val="007426B9"/>
    <w:rsid w:val="008A1781"/>
    <w:rsid w:val="008D3193"/>
    <w:rsid w:val="00AA7319"/>
    <w:rsid w:val="00B64377"/>
    <w:rsid w:val="00BC2FF9"/>
    <w:rsid w:val="00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35ADC"/>
  <w15:chartTrackingRefBased/>
  <w15:docId w15:val="{0AAA2237-925D-45FE-B6EB-A38FB5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3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DAE"/>
  </w:style>
  <w:style w:type="paragraph" w:styleId="Piedepgina">
    <w:name w:val="footer"/>
    <w:basedOn w:val="Normal"/>
    <w:link w:val="PiedepginaCar"/>
    <w:uiPriority w:val="99"/>
    <w:unhideWhenUsed/>
    <w:rsid w:val="00675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astapublica@subpes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8</cp:revision>
  <cp:lastPrinted>2021-12-02T14:03:00Z</cp:lastPrinted>
  <dcterms:created xsi:type="dcterms:W3CDTF">2021-11-30T14:22:00Z</dcterms:created>
  <dcterms:modified xsi:type="dcterms:W3CDTF">2021-12-02T14:19:00Z</dcterms:modified>
</cp:coreProperties>
</file>