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B1" w:rsidRPr="00270C61" w:rsidRDefault="003E2EB1">
      <w:pPr>
        <w:pStyle w:val="Textoindependiente"/>
        <w:jc w:val="center"/>
        <w:rPr>
          <w:rFonts w:ascii="gobCL" w:hAnsi="gobCL"/>
          <w:b/>
          <w:bCs/>
          <w:sz w:val="32"/>
        </w:rPr>
      </w:pPr>
      <w:bookmarkStart w:id="0" w:name="_GoBack"/>
      <w:bookmarkEnd w:id="0"/>
      <w:r w:rsidRPr="00270C61">
        <w:rPr>
          <w:rFonts w:ascii="gobCL" w:hAnsi="gobCL"/>
          <w:b/>
          <w:bCs/>
          <w:sz w:val="32"/>
        </w:rPr>
        <w:t>MINUTA</w:t>
      </w:r>
      <w:r w:rsidR="00EC0F3C" w:rsidRPr="00270C61">
        <w:rPr>
          <w:rFonts w:ascii="gobCL" w:hAnsi="gobCL"/>
          <w:b/>
          <w:bCs/>
          <w:sz w:val="32"/>
        </w:rPr>
        <w:t xml:space="preserve"> </w:t>
      </w:r>
      <w:r w:rsidR="00CB2D84" w:rsidRPr="00270C61">
        <w:rPr>
          <w:rFonts w:ascii="gobCL" w:hAnsi="gobCL"/>
          <w:b/>
          <w:bCs/>
          <w:sz w:val="32"/>
        </w:rPr>
        <w:t xml:space="preserve">DAS </w:t>
      </w:r>
      <w:r w:rsidR="007263D8">
        <w:rPr>
          <w:rFonts w:ascii="gobCL" w:hAnsi="gobCL"/>
          <w:b/>
          <w:bCs/>
          <w:sz w:val="32"/>
        </w:rPr>
        <w:t xml:space="preserve">Nº </w:t>
      </w:r>
      <w:r w:rsidR="000E2DA6">
        <w:rPr>
          <w:rFonts w:ascii="gobCL" w:hAnsi="gobCL"/>
          <w:b/>
          <w:bCs/>
          <w:sz w:val="32"/>
        </w:rPr>
        <w:t>31</w:t>
      </w:r>
      <w:r w:rsidR="007263D8">
        <w:rPr>
          <w:rFonts w:ascii="gobCL" w:hAnsi="gobCL"/>
          <w:b/>
          <w:bCs/>
          <w:sz w:val="32"/>
        </w:rPr>
        <w:t>-20</w:t>
      </w:r>
      <w:r w:rsidR="00780178">
        <w:rPr>
          <w:rFonts w:ascii="gobCL" w:hAnsi="gobCL"/>
          <w:b/>
          <w:bCs/>
          <w:sz w:val="32"/>
        </w:rPr>
        <w:t>21</w:t>
      </w:r>
    </w:p>
    <w:p w:rsidR="003E2EB1" w:rsidRPr="00270C61" w:rsidRDefault="003E2EB1">
      <w:pPr>
        <w:pStyle w:val="Textoindependiente"/>
        <w:jc w:val="center"/>
        <w:rPr>
          <w:rFonts w:ascii="gobCL" w:hAnsi="gobCL"/>
          <w:b/>
          <w:bCs/>
          <w:sz w:val="32"/>
        </w:rPr>
      </w:pPr>
    </w:p>
    <w:p w:rsidR="003E2EB1" w:rsidRPr="00270C61" w:rsidRDefault="000E2DA6">
      <w:pPr>
        <w:pStyle w:val="Textoindependiente"/>
        <w:jc w:val="center"/>
        <w:rPr>
          <w:rFonts w:ascii="gobCL" w:hAnsi="gobCL"/>
          <w:b/>
          <w:bCs/>
          <w:sz w:val="24"/>
        </w:rPr>
      </w:pPr>
      <w:r>
        <w:rPr>
          <w:rFonts w:ascii="gobCL" w:hAnsi="gobCL"/>
          <w:b/>
          <w:bCs/>
          <w:sz w:val="24"/>
        </w:rPr>
        <w:t>A</w:t>
      </w:r>
      <w:r w:rsidR="006621F1">
        <w:rPr>
          <w:rFonts w:ascii="gobCL" w:hAnsi="gobCL"/>
          <w:b/>
          <w:bCs/>
          <w:sz w:val="24"/>
        </w:rPr>
        <w:t xml:space="preserve">ntecedentes para la elaboración de Bases Administrativas de la </w:t>
      </w:r>
      <w:r w:rsidR="003E2EB1" w:rsidRPr="00270C61">
        <w:rPr>
          <w:rFonts w:ascii="gobCL" w:hAnsi="gobCL"/>
          <w:b/>
          <w:bCs/>
          <w:sz w:val="24"/>
        </w:rPr>
        <w:t xml:space="preserve">Subasta de </w:t>
      </w:r>
      <w:r w:rsidR="008D729C">
        <w:rPr>
          <w:rFonts w:ascii="gobCL" w:hAnsi="gobCL"/>
          <w:b/>
          <w:bCs/>
          <w:sz w:val="24"/>
        </w:rPr>
        <w:t xml:space="preserve">Reasignación de </w:t>
      </w:r>
      <w:r w:rsidR="00CB5B7D">
        <w:rPr>
          <w:rFonts w:ascii="gobCL" w:hAnsi="gobCL"/>
          <w:b/>
          <w:bCs/>
          <w:sz w:val="24"/>
        </w:rPr>
        <w:t>Permisos E</w:t>
      </w:r>
      <w:r w:rsidR="006621F1">
        <w:rPr>
          <w:rFonts w:ascii="gobCL" w:hAnsi="gobCL"/>
          <w:b/>
          <w:bCs/>
          <w:sz w:val="24"/>
        </w:rPr>
        <w:t xml:space="preserve">xtraordinarios de Pesca (PEP) </w:t>
      </w:r>
      <w:r w:rsidR="00BE40BE">
        <w:rPr>
          <w:rFonts w:ascii="gobCL" w:hAnsi="gobCL"/>
          <w:b/>
          <w:bCs/>
          <w:sz w:val="24"/>
        </w:rPr>
        <w:t xml:space="preserve">de </w:t>
      </w:r>
      <w:r w:rsidR="003E2EB1" w:rsidRPr="00270C61">
        <w:rPr>
          <w:rFonts w:ascii="gobCL" w:hAnsi="gobCL"/>
          <w:b/>
          <w:bCs/>
          <w:sz w:val="24"/>
        </w:rPr>
        <w:t>Bacalao de Profundidad (</w:t>
      </w:r>
      <w:r w:rsidR="009F0967" w:rsidRPr="00270C61">
        <w:rPr>
          <w:rFonts w:ascii="gobCL" w:hAnsi="gobCL"/>
          <w:b/>
          <w:bCs/>
          <w:sz w:val="24"/>
        </w:rPr>
        <w:t>47°</w:t>
      </w:r>
      <w:r w:rsidR="006621F1">
        <w:rPr>
          <w:rFonts w:ascii="gobCL" w:hAnsi="gobCL"/>
          <w:b/>
          <w:bCs/>
          <w:sz w:val="24"/>
        </w:rPr>
        <w:t xml:space="preserve"> </w:t>
      </w:r>
      <w:r w:rsidR="009F0967" w:rsidRPr="00270C61">
        <w:rPr>
          <w:rFonts w:ascii="gobCL" w:hAnsi="gobCL"/>
          <w:b/>
          <w:bCs/>
          <w:sz w:val="24"/>
        </w:rPr>
        <w:t>L.S. al 57°</w:t>
      </w:r>
      <w:r w:rsidR="006621F1">
        <w:rPr>
          <w:rFonts w:ascii="gobCL" w:hAnsi="gobCL"/>
          <w:b/>
          <w:bCs/>
          <w:sz w:val="24"/>
        </w:rPr>
        <w:t xml:space="preserve"> </w:t>
      </w:r>
      <w:r w:rsidR="009F0967" w:rsidRPr="00270C61">
        <w:rPr>
          <w:rFonts w:ascii="gobCL" w:hAnsi="gobCL"/>
          <w:b/>
          <w:bCs/>
          <w:sz w:val="24"/>
        </w:rPr>
        <w:t xml:space="preserve">L.S.) </w:t>
      </w:r>
      <w:r w:rsidR="00BE40BE">
        <w:rPr>
          <w:rFonts w:ascii="gobCL" w:hAnsi="gobCL"/>
          <w:b/>
          <w:bCs/>
          <w:sz w:val="24"/>
        </w:rPr>
        <w:t xml:space="preserve">por renuncia </w:t>
      </w:r>
      <w:r w:rsidR="00780178">
        <w:rPr>
          <w:rFonts w:ascii="gobCL" w:hAnsi="gobCL"/>
          <w:b/>
          <w:bCs/>
          <w:sz w:val="24"/>
        </w:rPr>
        <w:t xml:space="preserve">y caducidad </w:t>
      </w:r>
      <w:r w:rsidR="00BE40BE">
        <w:rPr>
          <w:rFonts w:ascii="gobCL" w:hAnsi="gobCL"/>
          <w:b/>
          <w:bCs/>
          <w:sz w:val="24"/>
        </w:rPr>
        <w:t>de titulares</w:t>
      </w:r>
      <w:r w:rsidR="00280740">
        <w:rPr>
          <w:rFonts w:ascii="gobCL" w:hAnsi="gobCL"/>
          <w:b/>
          <w:bCs/>
          <w:sz w:val="24"/>
        </w:rPr>
        <w:t>, temporada</w:t>
      </w:r>
      <w:r w:rsidR="00F4581B">
        <w:rPr>
          <w:rFonts w:ascii="gobCL" w:hAnsi="gobCL"/>
          <w:b/>
          <w:bCs/>
          <w:sz w:val="24"/>
        </w:rPr>
        <w:t xml:space="preserve"> año</w:t>
      </w:r>
      <w:r w:rsidR="00280740">
        <w:rPr>
          <w:rFonts w:ascii="gobCL" w:hAnsi="gobCL"/>
          <w:b/>
          <w:bCs/>
          <w:sz w:val="24"/>
        </w:rPr>
        <w:t xml:space="preserve"> </w:t>
      </w:r>
      <w:r w:rsidR="009747A1">
        <w:rPr>
          <w:rFonts w:ascii="gobCL" w:hAnsi="gobCL"/>
          <w:b/>
          <w:bCs/>
          <w:sz w:val="24"/>
        </w:rPr>
        <w:t>202</w:t>
      </w:r>
      <w:r w:rsidR="00FE141F">
        <w:rPr>
          <w:rFonts w:ascii="gobCL" w:hAnsi="gobCL"/>
          <w:b/>
          <w:bCs/>
          <w:sz w:val="24"/>
        </w:rPr>
        <w:t>1</w:t>
      </w:r>
    </w:p>
    <w:p w:rsidR="003E2EB1" w:rsidRPr="00270C61" w:rsidRDefault="003E2EB1">
      <w:pPr>
        <w:pStyle w:val="Textoindependiente"/>
        <w:jc w:val="center"/>
        <w:rPr>
          <w:rFonts w:ascii="gobCL" w:hAnsi="gobCL"/>
          <w:b/>
          <w:bCs/>
          <w:sz w:val="24"/>
        </w:rPr>
      </w:pPr>
    </w:p>
    <w:p w:rsidR="003E2EB1" w:rsidRDefault="003E2EB1">
      <w:pPr>
        <w:pStyle w:val="Textoindependiente"/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>Objetivo</w:t>
      </w:r>
    </w:p>
    <w:p w:rsidR="00326DDB" w:rsidRDefault="00326DDB">
      <w:pPr>
        <w:pStyle w:val="Textoindependiente"/>
        <w:rPr>
          <w:rFonts w:ascii="gobCL" w:hAnsi="gobCL"/>
        </w:rPr>
      </w:pPr>
    </w:p>
    <w:p w:rsidR="003B2D81" w:rsidRDefault="00F56AB3" w:rsidP="00780648">
      <w:pPr>
        <w:pStyle w:val="Textoindependiente"/>
      </w:pPr>
      <w:r>
        <w:rPr>
          <w:rFonts w:ascii="gobCL" w:hAnsi="gobCL"/>
        </w:rPr>
        <w:t xml:space="preserve">Proporcionar </w:t>
      </w:r>
      <w:r w:rsidR="003E2EB1" w:rsidRPr="00270C61">
        <w:rPr>
          <w:rFonts w:ascii="gobCL" w:hAnsi="gobCL"/>
        </w:rPr>
        <w:t>antecedentes a considerar en la subast</w:t>
      </w:r>
      <w:r w:rsidR="009F0967" w:rsidRPr="00270C61">
        <w:rPr>
          <w:rFonts w:ascii="gobCL" w:hAnsi="gobCL"/>
        </w:rPr>
        <w:t>a de</w:t>
      </w:r>
      <w:r w:rsidR="00CB0316">
        <w:rPr>
          <w:rFonts w:ascii="gobCL" w:hAnsi="gobCL"/>
        </w:rPr>
        <w:t xml:space="preserve"> r</w:t>
      </w:r>
      <w:r w:rsidR="008D729C">
        <w:rPr>
          <w:rFonts w:ascii="gobCL" w:hAnsi="gobCL"/>
        </w:rPr>
        <w:t xml:space="preserve">easignación </w:t>
      </w:r>
      <w:r w:rsidR="00EC1010">
        <w:rPr>
          <w:rFonts w:ascii="gobCL" w:hAnsi="gobCL"/>
        </w:rPr>
        <w:t xml:space="preserve">de Permisos Extraordinarios de Pesca </w:t>
      </w:r>
      <w:r w:rsidR="008D729C">
        <w:rPr>
          <w:rFonts w:ascii="gobCL" w:hAnsi="gobCL"/>
        </w:rPr>
        <w:t>de</w:t>
      </w:r>
      <w:r w:rsidR="009F0967" w:rsidRPr="00270C61">
        <w:rPr>
          <w:rFonts w:ascii="gobCL" w:hAnsi="gobCL"/>
        </w:rPr>
        <w:t xml:space="preserve"> Bacalao de Profundidad</w:t>
      </w:r>
      <w:r w:rsidR="009747A1">
        <w:rPr>
          <w:rFonts w:ascii="gobCL" w:hAnsi="gobCL"/>
        </w:rPr>
        <w:t xml:space="preserve"> </w:t>
      </w:r>
      <w:r w:rsidR="00EC1010" w:rsidRPr="007D5B74">
        <w:rPr>
          <w:rFonts w:ascii="gobCL" w:hAnsi="gobCL"/>
        </w:rPr>
        <w:t xml:space="preserve">que fueron sujeto de renuncias </w:t>
      </w:r>
      <w:r w:rsidR="00780178">
        <w:rPr>
          <w:rFonts w:ascii="gobCL" w:hAnsi="gobCL"/>
        </w:rPr>
        <w:t xml:space="preserve">y caducidades </w:t>
      </w:r>
      <w:r w:rsidR="00EC1010" w:rsidRPr="007D5B74">
        <w:rPr>
          <w:rFonts w:ascii="gobCL" w:hAnsi="gobCL"/>
        </w:rPr>
        <w:t>por</w:t>
      </w:r>
      <w:r w:rsidR="00EC1010">
        <w:rPr>
          <w:rFonts w:ascii="gobCL" w:hAnsi="gobCL"/>
        </w:rPr>
        <w:t xml:space="preserve"> parte del sector artesanal</w:t>
      </w:r>
      <w:r w:rsidR="00780648">
        <w:rPr>
          <w:rFonts w:ascii="gobCL" w:hAnsi="gobCL"/>
        </w:rPr>
        <w:t>.</w:t>
      </w:r>
    </w:p>
    <w:p w:rsidR="003B2D81" w:rsidRDefault="003B2D81">
      <w:pPr>
        <w:pStyle w:val="Textoindependiente"/>
        <w:rPr>
          <w:rFonts w:ascii="gobCL" w:hAnsi="gobCL"/>
          <w:bCs/>
        </w:rPr>
      </w:pPr>
    </w:p>
    <w:p w:rsidR="00EC1010" w:rsidRPr="00270C61" w:rsidRDefault="00EC1010" w:rsidP="00EC1010">
      <w:pPr>
        <w:pStyle w:val="Textoindependiente"/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Antecedentes</w:t>
      </w:r>
    </w:p>
    <w:p w:rsidR="00EC1010" w:rsidRPr="00270C61" w:rsidRDefault="00EC1010">
      <w:pPr>
        <w:pStyle w:val="Textoindependiente"/>
        <w:rPr>
          <w:rFonts w:ascii="gobCL" w:hAnsi="gobCL"/>
          <w:bCs/>
        </w:rPr>
      </w:pPr>
    </w:p>
    <w:p w:rsidR="00314902" w:rsidRDefault="000E0434" w:rsidP="009F66D9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Siete </w:t>
      </w:r>
      <w:r w:rsidR="00EC1010">
        <w:rPr>
          <w:rFonts w:ascii="gobCL" w:hAnsi="gobCL"/>
        </w:rPr>
        <w:t xml:space="preserve">titulares de Permisos Extraordinarios de Pesca </w:t>
      </w:r>
      <w:r w:rsidR="00EC1010" w:rsidRPr="007D5B74">
        <w:rPr>
          <w:rFonts w:ascii="gobCL" w:hAnsi="gobCL"/>
        </w:rPr>
        <w:t xml:space="preserve">renunciaron </w:t>
      </w:r>
      <w:r w:rsidR="00EC1010">
        <w:rPr>
          <w:rFonts w:ascii="gobCL" w:hAnsi="gobCL"/>
        </w:rPr>
        <w:t xml:space="preserve">a </w:t>
      </w:r>
      <w:r>
        <w:rPr>
          <w:rFonts w:ascii="gobCL" w:hAnsi="gobCL"/>
        </w:rPr>
        <w:t xml:space="preserve">diecinueve </w:t>
      </w:r>
      <w:r w:rsidR="006F178D">
        <w:rPr>
          <w:rFonts w:ascii="gobCL" w:hAnsi="gobCL"/>
        </w:rPr>
        <w:t>(</w:t>
      </w:r>
      <w:r>
        <w:rPr>
          <w:rFonts w:ascii="gobCL" w:hAnsi="gobCL"/>
        </w:rPr>
        <w:t>19</w:t>
      </w:r>
      <w:r w:rsidR="00027758">
        <w:rPr>
          <w:rFonts w:ascii="gobCL" w:hAnsi="gobCL"/>
        </w:rPr>
        <w:t>)</w:t>
      </w:r>
      <w:r w:rsidR="00EB75D3">
        <w:rPr>
          <w:rFonts w:ascii="gobCL" w:hAnsi="gobCL"/>
        </w:rPr>
        <w:t xml:space="preserve"> </w:t>
      </w:r>
      <w:r w:rsidR="00EC1010" w:rsidRPr="00EB75D3">
        <w:rPr>
          <w:rFonts w:ascii="gobCL" w:hAnsi="gobCL"/>
        </w:rPr>
        <w:t>lotes</w:t>
      </w:r>
      <w:r w:rsidR="006621F1">
        <w:rPr>
          <w:rFonts w:ascii="gobCL" w:hAnsi="gobCL"/>
        </w:rPr>
        <w:t xml:space="preserve">, </w:t>
      </w:r>
      <w:r w:rsidR="006F178D">
        <w:rPr>
          <w:rFonts w:ascii="gobCL" w:hAnsi="gobCL"/>
        </w:rPr>
        <w:t xml:space="preserve">de diversos </w:t>
      </w:r>
      <w:r w:rsidR="006621F1">
        <w:rPr>
          <w:rFonts w:ascii="gobCL" w:hAnsi="gobCL"/>
        </w:rPr>
        <w:t>tamaño</w:t>
      </w:r>
      <w:r w:rsidR="006F178D">
        <w:rPr>
          <w:rFonts w:ascii="gobCL" w:hAnsi="gobCL"/>
        </w:rPr>
        <w:t>s</w:t>
      </w:r>
      <w:r w:rsidR="00B522B5">
        <w:rPr>
          <w:rFonts w:ascii="gobCL" w:hAnsi="gobCL"/>
        </w:rPr>
        <w:t>. S</w:t>
      </w:r>
      <w:r>
        <w:rPr>
          <w:rFonts w:ascii="gobCL" w:hAnsi="gobCL"/>
        </w:rPr>
        <w:t>e caducar</w:t>
      </w:r>
      <w:r w:rsidR="00291E75">
        <w:rPr>
          <w:rFonts w:ascii="gobCL" w:hAnsi="gobCL"/>
        </w:rPr>
        <w:t>on dos lotes PEP de un titular</w:t>
      </w:r>
      <w:r w:rsidR="00B522B5">
        <w:rPr>
          <w:rFonts w:ascii="gobCL" w:hAnsi="gobCL"/>
        </w:rPr>
        <w:t xml:space="preserve">. Todo lo anterior, </w:t>
      </w:r>
      <w:r w:rsidR="009F66D9">
        <w:rPr>
          <w:rFonts w:ascii="gobCL" w:hAnsi="gobCL"/>
        </w:rPr>
        <w:t xml:space="preserve">suma en conjunto </w:t>
      </w:r>
      <w:r>
        <w:rPr>
          <w:rFonts w:ascii="gobCL" w:hAnsi="gobCL"/>
        </w:rPr>
        <w:t>un total de 21 lotes, que representan el</w:t>
      </w:r>
      <w:r w:rsidR="00EC1010">
        <w:rPr>
          <w:rFonts w:ascii="gobCL" w:hAnsi="gobCL"/>
        </w:rPr>
        <w:t xml:space="preserve"> </w:t>
      </w:r>
      <w:r w:rsidR="0027053B" w:rsidRPr="00663578">
        <w:rPr>
          <w:rFonts w:ascii="gobCL" w:hAnsi="gobCL"/>
        </w:rPr>
        <w:t>14</w:t>
      </w:r>
      <w:r w:rsidR="00EC1010" w:rsidRPr="00663578">
        <w:rPr>
          <w:rFonts w:ascii="gobCL" w:hAnsi="gobCL"/>
        </w:rPr>
        <w:t>% de la cuot</w:t>
      </w:r>
      <w:r w:rsidR="00314902" w:rsidRPr="00663578">
        <w:rPr>
          <w:rFonts w:ascii="gobCL" w:hAnsi="gobCL"/>
        </w:rPr>
        <w:t>a</w:t>
      </w:r>
      <w:r w:rsidR="00B522B5" w:rsidRPr="00663578">
        <w:rPr>
          <w:rFonts w:ascii="gobCL" w:hAnsi="gobCL"/>
        </w:rPr>
        <w:t xml:space="preserve"> de la fracción a licitar del recurso bacalao de profundidad</w:t>
      </w:r>
      <w:r w:rsidR="006C085C">
        <w:rPr>
          <w:rFonts w:ascii="gobCL" w:hAnsi="gobCL"/>
        </w:rPr>
        <w:t xml:space="preserve">. A continuación, se presenta </w:t>
      </w:r>
      <w:r w:rsidR="00055A51" w:rsidRPr="00663578">
        <w:rPr>
          <w:rFonts w:ascii="gobCL" w:hAnsi="gobCL"/>
        </w:rPr>
        <w:t>Tabla 1</w:t>
      </w:r>
      <w:r w:rsidR="006C085C">
        <w:rPr>
          <w:rFonts w:ascii="gobCL" w:hAnsi="gobCL"/>
        </w:rPr>
        <w:t>, con el detalle de cada uno de los lotes PEP, la resolución de adjudicación, periodo de vigencia y su etapa de licitación</w:t>
      </w:r>
      <w:r w:rsidR="00314902" w:rsidRPr="00663578">
        <w:rPr>
          <w:rFonts w:ascii="gobCL" w:hAnsi="gobCL"/>
        </w:rPr>
        <w:t>.</w:t>
      </w:r>
      <w:r w:rsidR="006C085C">
        <w:rPr>
          <w:rFonts w:ascii="gobCL" w:hAnsi="gobCL"/>
        </w:rPr>
        <w:t xml:space="preserve"> </w:t>
      </w:r>
    </w:p>
    <w:p w:rsidR="00314902" w:rsidRDefault="00314902" w:rsidP="009F66D9">
      <w:pPr>
        <w:pStyle w:val="Textoindependiente"/>
        <w:rPr>
          <w:rFonts w:ascii="gobCL" w:hAnsi="gobCL"/>
        </w:rPr>
      </w:pPr>
    </w:p>
    <w:p w:rsidR="00055A51" w:rsidRDefault="00055A51" w:rsidP="00055A51">
      <w:pPr>
        <w:jc w:val="center"/>
        <w:rPr>
          <w:rFonts w:ascii="gobCL" w:hAnsi="gobCL"/>
          <w:b/>
          <w:sz w:val="20"/>
        </w:rPr>
      </w:pPr>
      <w:r w:rsidRPr="00DB78B7">
        <w:rPr>
          <w:rFonts w:ascii="gobCL" w:hAnsi="gobCL"/>
          <w:sz w:val="20"/>
        </w:rPr>
        <w:t>Tabla 1</w:t>
      </w:r>
      <w:r w:rsidR="006621F1">
        <w:rPr>
          <w:rFonts w:ascii="gobCL" w:hAnsi="gobCL"/>
          <w:sz w:val="20"/>
        </w:rPr>
        <w:t>.</w:t>
      </w:r>
      <w:r w:rsidRPr="00DB78B7">
        <w:rPr>
          <w:rFonts w:ascii="gobCL" w:hAnsi="gobCL"/>
          <w:sz w:val="20"/>
        </w:rPr>
        <w:t xml:space="preserve"> </w:t>
      </w:r>
      <w:r w:rsidR="006621F1">
        <w:rPr>
          <w:rFonts w:ascii="gobCL" w:hAnsi="gobCL"/>
          <w:sz w:val="20"/>
        </w:rPr>
        <w:t>Resoluciones que otorgaron permisos extraordinarios (PEP) de bacalao de profundidad</w:t>
      </w:r>
      <w:r w:rsidR="00EF0C68">
        <w:rPr>
          <w:rFonts w:ascii="gobCL" w:hAnsi="gobCL"/>
          <w:b/>
          <w:sz w:val="20"/>
        </w:rPr>
        <w:t>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2526"/>
        <w:gridCol w:w="1335"/>
        <w:gridCol w:w="1672"/>
        <w:gridCol w:w="1400"/>
        <w:gridCol w:w="2314"/>
      </w:tblGrid>
      <w:tr w:rsidR="006C41F1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center"/>
            <w:hideMark/>
          </w:tcPr>
          <w:p w:rsidR="006C41F1" w:rsidRPr="00A9554B" w:rsidRDefault="006C41F1" w:rsidP="006C41F1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Lote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center"/>
            <w:hideMark/>
          </w:tcPr>
          <w:p w:rsidR="006C41F1" w:rsidRPr="00A9554B" w:rsidRDefault="006C41F1" w:rsidP="006C41F1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Adjudicatario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center"/>
            <w:hideMark/>
          </w:tcPr>
          <w:p w:rsidR="006C41F1" w:rsidRPr="00A9554B" w:rsidRDefault="006C41F1" w:rsidP="006C41F1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Res. Ex. adjudicación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6C41F1" w:rsidRPr="00A9554B" w:rsidRDefault="006C41F1" w:rsidP="006C41F1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Tamaño del lote (%) Fijo</w:t>
            </w:r>
          </w:p>
        </w:tc>
        <w:tc>
          <w:tcPr>
            <w:tcW w:w="1400" w:type="dxa"/>
            <w:shd w:val="clear" w:color="auto" w:fill="FFFFFF" w:themeFill="background1"/>
          </w:tcPr>
          <w:p w:rsidR="006C41F1" w:rsidRPr="00A9554B" w:rsidRDefault="006C41F1" w:rsidP="006C41F1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Periodo de vigencia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6C41F1" w:rsidRPr="00A9554B" w:rsidRDefault="003320D9" w:rsidP="006C41F1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 xml:space="preserve">Ultima </w:t>
            </w:r>
            <w:r w:rsidR="006C41F1"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Licitación</w:t>
            </w:r>
          </w:p>
        </w:tc>
      </w:tr>
      <w:tr w:rsidR="006F178D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bottom"/>
          </w:tcPr>
          <w:p w:rsidR="006F178D" w:rsidRPr="00A9554B" w:rsidRDefault="006F178D" w:rsidP="006F178D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bottom"/>
          </w:tcPr>
          <w:p w:rsidR="006F178D" w:rsidRPr="00A9554B" w:rsidRDefault="006F178D" w:rsidP="006F178D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Luis Lemus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bottom"/>
          </w:tcPr>
          <w:p w:rsidR="006F178D" w:rsidRPr="00A9554B" w:rsidRDefault="006F178D" w:rsidP="006F178D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351-2020</w:t>
            </w: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:rsidR="006F178D" w:rsidRPr="00A9554B" w:rsidRDefault="006F178D" w:rsidP="006F178D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2,50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6F178D" w:rsidRPr="00A9554B" w:rsidRDefault="006F178D" w:rsidP="006F178D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2020 - 2025</w:t>
            </w:r>
          </w:p>
        </w:tc>
        <w:tc>
          <w:tcPr>
            <w:tcW w:w="2314" w:type="dxa"/>
            <w:shd w:val="clear" w:color="auto" w:fill="FFFFFF" w:themeFill="background1"/>
            <w:vAlign w:val="bottom"/>
          </w:tcPr>
          <w:p w:rsidR="006F178D" w:rsidRPr="00A9554B" w:rsidRDefault="008B7137" w:rsidP="008B7137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 xml:space="preserve">1ª </w:t>
            </w:r>
            <w:r w:rsidR="006F178D" w:rsidRPr="00A9554B">
              <w:rPr>
                <w:rFonts w:ascii="gobCL" w:hAnsi="gobCL"/>
                <w:color w:val="000000"/>
                <w:sz w:val="18"/>
                <w:szCs w:val="22"/>
              </w:rPr>
              <w:t>re</w:t>
            </w:r>
            <w:r w:rsidR="004F4C88" w:rsidRPr="00A9554B">
              <w:rPr>
                <w:rFonts w:ascii="gobCL" w:hAnsi="gobCL"/>
                <w:color w:val="000000"/>
                <w:sz w:val="18"/>
                <w:szCs w:val="22"/>
              </w:rPr>
              <w:t>-</w:t>
            </w:r>
            <w:r w:rsidR="006F178D" w:rsidRPr="00A9554B">
              <w:rPr>
                <w:rFonts w:ascii="gobCL" w:hAnsi="gobCL"/>
                <w:color w:val="000000"/>
                <w:sz w:val="18"/>
                <w:szCs w:val="22"/>
              </w:rPr>
              <w:t>licitaci</w:t>
            </w: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ó</w:t>
            </w:r>
            <w:r w:rsidR="006F178D" w:rsidRPr="00A9554B">
              <w:rPr>
                <w:rFonts w:ascii="gobCL" w:hAnsi="gobCL"/>
                <w:color w:val="000000"/>
                <w:sz w:val="18"/>
                <w:szCs w:val="22"/>
              </w:rPr>
              <w:t>n</w:t>
            </w:r>
          </w:p>
        </w:tc>
      </w:tr>
      <w:tr w:rsidR="004F4C88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Juan José Guzmán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2941-2014</w:t>
            </w: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1,00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2014 - 2022</w:t>
            </w:r>
          </w:p>
        </w:tc>
        <w:tc>
          <w:tcPr>
            <w:tcW w:w="2314" w:type="dxa"/>
            <w:shd w:val="clear" w:color="auto" w:fill="FFFFFF" w:themeFill="background1"/>
          </w:tcPr>
          <w:p w:rsidR="004F4C88" w:rsidRPr="00A9554B" w:rsidRDefault="004F4C88" w:rsidP="004F4C88">
            <w:pPr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1ª re-licitación</w:t>
            </w:r>
          </w:p>
        </w:tc>
      </w:tr>
      <w:tr w:rsidR="004F4C88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Bolivar Guzmán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2940-2014</w:t>
            </w: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1,00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2014 - 2022</w:t>
            </w:r>
          </w:p>
        </w:tc>
        <w:tc>
          <w:tcPr>
            <w:tcW w:w="2314" w:type="dxa"/>
            <w:shd w:val="clear" w:color="auto" w:fill="FFFFFF" w:themeFill="background1"/>
          </w:tcPr>
          <w:p w:rsidR="004F4C88" w:rsidRPr="00A9554B" w:rsidRDefault="004F4C88" w:rsidP="004F4C88">
            <w:pPr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1ª re-licitación</w:t>
            </w:r>
          </w:p>
        </w:tc>
      </w:tr>
      <w:tr w:rsidR="004F4C88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4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Luis Lemus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354-2020</w:t>
            </w: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2020 - 2026</w:t>
            </w:r>
          </w:p>
        </w:tc>
        <w:tc>
          <w:tcPr>
            <w:tcW w:w="2314" w:type="dxa"/>
            <w:shd w:val="clear" w:color="auto" w:fill="FFFFFF" w:themeFill="background1"/>
          </w:tcPr>
          <w:p w:rsidR="004F4C88" w:rsidRPr="00A9554B" w:rsidRDefault="00B522B5" w:rsidP="004F4C88">
            <w:pPr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</w:t>
            </w:r>
            <w:r w:rsidR="004F4C88" w:rsidRPr="00A9554B">
              <w:rPr>
                <w:rFonts w:ascii="gobCL" w:hAnsi="gobCL"/>
                <w:color w:val="000000"/>
                <w:sz w:val="18"/>
                <w:szCs w:val="22"/>
              </w:rPr>
              <w:t>ª re-licitación</w:t>
            </w:r>
          </w:p>
        </w:tc>
      </w:tr>
      <w:tr w:rsidR="004F4C88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9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Bolivar Guzmán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262-2019</w:t>
            </w: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4F4C88" w:rsidRPr="00A9554B" w:rsidRDefault="002E7C50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2019</w:t>
            </w:r>
            <w:r w:rsidR="004F4C88" w:rsidRPr="00A9554B">
              <w:rPr>
                <w:rFonts w:ascii="gobCL" w:hAnsi="gobCL"/>
                <w:color w:val="000000"/>
                <w:sz w:val="18"/>
                <w:szCs w:val="22"/>
              </w:rPr>
              <w:t xml:space="preserve"> - 2026</w:t>
            </w:r>
          </w:p>
        </w:tc>
        <w:tc>
          <w:tcPr>
            <w:tcW w:w="2314" w:type="dxa"/>
            <w:shd w:val="clear" w:color="auto" w:fill="FFFFFF" w:themeFill="background1"/>
          </w:tcPr>
          <w:p w:rsidR="004F4C88" w:rsidRPr="00A9554B" w:rsidRDefault="004F4C88" w:rsidP="004F4C88">
            <w:pPr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1ª re-licitación</w:t>
            </w:r>
          </w:p>
        </w:tc>
      </w:tr>
      <w:tr w:rsidR="004F4C88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3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Daniel Molina Cisternas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1661-2019</w:t>
            </w: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2019 - 2027</w:t>
            </w:r>
          </w:p>
        </w:tc>
        <w:tc>
          <w:tcPr>
            <w:tcW w:w="2314" w:type="dxa"/>
            <w:shd w:val="clear" w:color="auto" w:fill="FFFFFF" w:themeFill="background1"/>
          </w:tcPr>
          <w:p w:rsidR="004F4C88" w:rsidRPr="00A9554B" w:rsidRDefault="004F4C88" w:rsidP="004F4C88">
            <w:pPr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1ª re-licitación</w:t>
            </w:r>
          </w:p>
        </w:tc>
      </w:tr>
      <w:tr w:rsidR="004F4C88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4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Daniel Molina Cisternas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1662-2019</w:t>
            </w: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2019 - 2027</w:t>
            </w:r>
          </w:p>
        </w:tc>
        <w:tc>
          <w:tcPr>
            <w:tcW w:w="2314" w:type="dxa"/>
            <w:shd w:val="clear" w:color="auto" w:fill="FFFFFF" w:themeFill="background1"/>
          </w:tcPr>
          <w:p w:rsidR="004F4C88" w:rsidRPr="00A9554B" w:rsidRDefault="004F4C88" w:rsidP="004F4C88">
            <w:pPr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1ª re-licitación</w:t>
            </w:r>
          </w:p>
        </w:tc>
      </w:tr>
      <w:tr w:rsidR="003320D9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3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Daniel Molina Cisternas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122-2013</w:t>
            </w: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:rsidR="003320D9" w:rsidRPr="00A9554B" w:rsidRDefault="00576F05" w:rsidP="003320D9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1,00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3320D9" w:rsidRPr="00A9554B" w:rsidRDefault="003320D9" w:rsidP="002E7C50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</w:t>
            </w:r>
            <w:r w:rsidR="002E7C50" w:rsidRPr="00A9554B">
              <w:rPr>
                <w:rFonts w:ascii="gobCL" w:hAnsi="gobCL"/>
                <w:color w:val="000000"/>
                <w:sz w:val="18"/>
                <w:szCs w:val="22"/>
              </w:rPr>
              <w:t>3</w:t>
            </w:r>
            <w:r w:rsidRPr="00A9554B">
              <w:rPr>
                <w:rFonts w:ascii="gobCL" w:hAnsi="gobCL"/>
                <w:color w:val="000000"/>
                <w:sz w:val="18"/>
                <w:szCs w:val="22"/>
              </w:rPr>
              <w:t xml:space="preserve"> - 202</w:t>
            </w:r>
            <w:r w:rsidR="002E7C50" w:rsidRPr="00A9554B">
              <w:rPr>
                <w:rFonts w:ascii="gobCL" w:hAnsi="gobCL"/>
                <w:color w:val="000000"/>
                <w:sz w:val="18"/>
                <w:szCs w:val="22"/>
              </w:rPr>
              <w:t>2</w:t>
            </w:r>
          </w:p>
        </w:tc>
        <w:tc>
          <w:tcPr>
            <w:tcW w:w="2314" w:type="dxa"/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1ª licitación</w:t>
            </w:r>
          </w:p>
        </w:tc>
      </w:tr>
      <w:tr w:rsidR="003320D9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Daniel Molina Cisternas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3726-2014</w:t>
            </w: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2015 - 2024</w:t>
            </w:r>
          </w:p>
        </w:tc>
        <w:tc>
          <w:tcPr>
            <w:tcW w:w="2314" w:type="dxa"/>
            <w:shd w:val="clear" w:color="auto" w:fill="FFFFFF" w:themeFill="background1"/>
          </w:tcPr>
          <w:p w:rsidR="003320D9" w:rsidRPr="00A9554B" w:rsidRDefault="003320D9" w:rsidP="003320D9">
            <w:pPr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1ª licitación</w:t>
            </w:r>
          </w:p>
        </w:tc>
      </w:tr>
      <w:tr w:rsidR="003320D9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7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David Cisterna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3720-2014</w:t>
            </w: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2015 - 2024</w:t>
            </w:r>
          </w:p>
        </w:tc>
        <w:tc>
          <w:tcPr>
            <w:tcW w:w="2314" w:type="dxa"/>
            <w:shd w:val="clear" w:color="auto" w:fill="FFFFFF" w:themeFill="background1"/>
          </w:tcPr>
          <w:p w:rsidR="003320D9" w:rsidRPr="00A9554B" w:rsidRDefault="003320D9" w:rsidP="003320D9">
            <w:pPr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1ª licitación</w:t>
            </w:r>
          </w:p>
        </w:tc>
      </w:tr>
      <w:tr w:rsidR="003320D9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4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Paola Mora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3723-2014</w:t>
            </w: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2015 - 2024</w:t>
            </w:r>
          </w:p>
        </w:tc>
        <w:tc>
          <w:tcPr>
            <w:tcW w:w="2314" w:type="dxa"/>
            <w:shd w:val="clear" w:color="auto" w:fill="FFFFFF" w:themeFill="background1"/>
          </w:tcPr>
          <w:p w:rsidR="003320D9" w:rsidRPr="00A9554B" w:rsidRDefault="003320D9" w:rsidP="003320D9">
            <w:pPr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1ª licitación</w:t>
            </w:r>
          </w:p>
        </w:tc>
      </w:tr>
      <w:tr w:rsidR="003320D9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7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Roberto González Navarro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sz w:val="18"/>
                <w:szCs w:val="22"/>
              </w:rPr>
            </w:pPr>
            <w:r w:rsidRPr="00A9554B">
              <w:rPr>
                <w:rFonts w:ascii="gobCL" w:hAnsi="gobCL"/>
                <w:sz w:val="18"/>
                <w:szCs w:val="22"/>
              </w:rPr>
              <w:t>261-2019</w:t>
            </w: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2019 - 2026</w:t>
            </w:r>
          </w:p>
        </w:tc>
        <w:tc>
          <w:tcPr>
            <w:tcW w:w="2314" w:type="dxa"/>
            <w:shd w:val="clear" w:color="auto" w:fill="FFFFFF" w:themeFill="background1"/>
          </w:tcPr>
          <w:p w:rsidR="003320D9" w:rsidRPr="00A9554B" w:rsidRDefault="003320D9" w:rsidP="003320D9">
            <w:pPr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1ª</w:t>
            </w:r>
            <w:r w:rsidR="002E7C50" w:rsidRPr="00A9554B">
              <w:rPr>
                <w:rFonts w:ascii="gobCL" w:hAnsi="gobCL"/>
                <w:color w:val="000000"/>
                <w:sz w:val="18"/>
                <w:szCs w:val="22"/>
              </w:rPr>
              <w:t xml:space="preserve"> re-</w:t>
            </w:r>
            <w:r w:rsidRPr="00A9554B">
              <w:rPr>
                <w:rFonts w:ascii="gobCL" w:hAnsi="gobCL"/>
                <w:color w:val="000000"/>
                <w:sz w:val="18"/>
                <w:szCs w:val="22"/>
              </w:rPr>
              <w:t xml:space="preserve"> licitación</w:t>
            </w:r>
          </w:p>
        </w:tc>
      </w:tr>
      <w:tr w:rsidR="003320D9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8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Roberto González Navarro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1242-2019</w:t>
            </w: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2019 - 2026</w:t>
            </w:r>
          </w:p>
        </w:tc>
        <w:tc>
          <w:tcPr>
            <w:tcW w:w="2314" w:type="dxa"/>
            <w:shd w:val="clear" w:color="auto" w:fill="FFFFFF" w:themeFill="background1"/>
          </w:tcPr>
          <w:p w:rsidR="003320D9" w:rsidRPr="00A9554B" w:rsidRDefault="003320D9" w:rsidP="003320D9">
            <w:pPr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 xml:space="preserve">1ª </w:t>
            </w:r>
            <w:r w:rsidR="002E7C50" w:rsidRPr="00A9554B">
              <w:rPr>
                <w:rFonts w:ascii="gobCL" w:hAnsi="gobCL"/>
                <w:color w:val="000000"/>
                <w:sz w:val="18"/>
                <w:szCs w:val="22"/>
              </w:rPr>
              <w:t xml:space="preserve">re- </w:t>
            </w: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licitación</w:t>
            </w:r>
          </w:p>
        </w:tc>
      </w:tr>
      <w:tr w:rsidR="003320D9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8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Roberto González Navarro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140-2014</w:t>
            </w: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2014-2023</w:t>
            </w:r>
          </w:p>
        </w:tc>
        <w:tc>
          <w:tcPr>
            <w:tcW w:w="2314" w:type="dxa"/>
            <w:shd w:val="clear" w:color="auto" w:fill="FFFFFF" w:themeFill="background1"/>
          </w:tcPr>
          <w:p w:rsidR="003320D9" w:rsidRPr="00A9554B" w:rsidRDefault="003320D9" w:rsidP="003320D9">
            <w:pPr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1ª licitación</w:t>
            </w:r>
          </w:p>
        </w:tc>
      </w:tr>
      <w:tr w:rsidR="003320D9" w:rsidRPr="00A9554B" w:rsidTr="007A0BD5">
        <w:trPr>
          <w:trHeight w:val="300"/>
          <w:jc w:val="center"/>
        </w:trPr>
        <w:tc>
          <w:tcPr>
            <w:tcW w:w="529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10</w:t>
            </w:r>
          </w:p>
        </w:tc>
        <w:tc>
          <w:tcPr>
            <w:tcW w:w="2526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Roberto González Navarro</w:t>
            </w:r>
          </w:p>
        </w:tc>
        <w:tc>
          <w:tcPr>
            <w:tcW w:w="1335" w:type="dxa"/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142-2014</w:t>
            </w: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2014-2023</w:t>
            </w:r>
          </w:p>
        </w:tc>
        <w:tc>
          <w:tcPr>
            <w:tcW w:w="2314" w:type="dxa"/>
            <w:shd w:val="clear" w:color="auto" w:fill="FFFFFF" w:themeFill="background1"/>
          </w:tcPr>
          <w:p w:rsidR="003320D9" w:rsidRPr="00A9554B" w:rsidRDefault="003320D9" w:rsidP="003320D9">
            <w:pPr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1ª licitación</w:t>
            </w:r>
          </w:p>
        </w:tc>
      </w:tr>
      <w:tr w:rsidR="003320D9" w:rsidRPr="00A9554B" w:rsidTr="007A0BD5">
        <w:trPr>
          <w:trHeight w:val="300"/>
          <w:jc w:val="center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5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Néstor Silva Sanhueza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355-2020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2020-2027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0D9" w:rsidRPr="00A9554B" w:rsidRDefault="003320D9" w:rsidP="003320D9">
            <w:pPr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 xml:space="preserve">1ª </w:t>
            </w:r>
            <w:r w:rsidR="002E7C50" w:rsidRPr="00A9554B">
              <w:rPr>
                <w:rFonts w:ascii="gobCL" w:hAnsi="gobCL"/>
                <w:color w:val="000000"/>
                <w:sz w:val="18"/>
                <w:szCs w:val="22"/>
              </w:rPr>
              <w:t>re-</w:t>
            </w: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licitación</w:t>
            </w:r>
          </w:p>
        </w:tc>
      </w:tr>
      <w:tr w:rsidR="003320D9" w:rsidRPr="00A9554B" w:rsidTr="007A0BD5">
        <w:trPr>
          <w:trHeight w:val="300"/>
          <w:jc w:val="center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12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Daniel Molina Cisternas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77-2021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20D9" w:rsidRPr="00A9554B" w:rsidRDefault="003320D9" w:rsidP="003320D9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20D9" w:rsidRPr="00A9554B" w:rsidRDefault="00965ED9" w:rsidP="003320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2021</w:t>
            </w:r>
            <w:r w:rsidR="003320D9" w:rsidRPr="00A9554B">
              <w:rPr>
                <w:rFonts w:ascii="gobCL" w:hAnsi="gobCL"/>
                <w:color w:val="000000"/>
                <w:sz w:val="18"/>
                <w:szCs w:val="22"/>
              </w:rPr>
              <w:t>-2027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20D9" w:rsidRPr="00A9554B" w:rsidRDefault="003320D9" w:rsidP="00965E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2ª re</w:t>
            </w:r>
            <w:r w:rsidR="004F4C88" w:rsidRPr="00A9554B">
              <w:rPr>
                <w:rFonts w:ascii="gobCL" w:hAnsi="gobCL"/>
                <w:color w:val="000000"/>
                <w:sz w:val="18"/>
                <w:szCs w:val="22"/>
              </w:rPr>
              <w:t>-</w:t>
            </w: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licitación</w:t>
            </w:r>
          </w:p>
        </w:tc>
      </w:tr>
      <w:tr w:rsidR="004F4C88" w:rsidRPr="00A9554B" w:rsidTr="007A0BD5">
        <w:trPr>
          <w:trHeight w:val="300"/>
          <w:jc w:val="center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lastRenderedPageBreak/>
              <w:t>13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Daniel Molina Cisternas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78-2021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965ED9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2021</w:t>
            </w:r>
            <w:r w:rsidR="004F4C88" w:rsidRPr="00A9554B">
              <w:rPr>
                <w:rFonts w:ascii="gobCL" w:hAnsi="gobCL"/>
                <w:color w:val="000000"/>
                <w:sz w:val="18"/>
                <w:szCs w:val="22"/>
              </w:rPr>
              <w:t>-2027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4F4C88" w:rsidP="00965E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2ª re-licitación</w:t>
            </w:r>
          </w:p>
        </w:tc>
      </w:tr>
      <w:tr w:rsidR="004F4C88" w:rsidRPr="00A9554B" w:rsidTr="007A0BD5">
        <w:trPr>
          <w:trHeight w:val="300"/>
          <w:jc w:val="center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11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Néstor Silva Sanhueza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2041-2019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2019-2027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4F4C88" w:rsidP="00965E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2ª re-licitación</w:t>
            </w:r>
          </w:p>
        </w:tc>
      </w:tr>
      <w:tr w:rsidR="004F4C88" w:rsidRPr="00A9554B" w:rsidTr="007A0BD5">
        <w:trPr>
          <w:trHeight w:val="300"/>
          <w:jc w:val="center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10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Néstor Silva Sanhueza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2040-2019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2019 - 2026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965ED9" w:rsidP="00965E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2ª</w:t>
            </w:r>
            <w:r w:rsidR="004F4C88" w:rsidRPr="00A9554B">
              <w:rPr>
                <w:rFonts w:ascii="gobCL" w:hAnsi="gobCL"/>
                <w:color w:val="000000"/>
                <w:sz w:val="18"/>
                <w:szCs w:val="22"/>
              </w:rPr>
              <w:t xml:space="preserve">  re-licitación</w:t>
            </w:r>
          </w:p>
        </w:tc>
      </w:tr>
      <w:tr w:rsidR="004F4C88" w:rsidRPr="00A9554B" w:rsidTr="007A0BD5">
        <w:trPr>
          <w:trHeight w:val="300"/>
          <w:jc w:val="center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14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Néstor Silva Sanhueza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2042-2019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4F4C88" w:rsidP="004F4C88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2019 - 2026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4C88" w:rsidRPr="00A9554B" w:rsidRDefault="004F4C88" w:rsidP="00965ED9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2ª re-licitación</w:t>
            </w:r>
          </w:p>
        </w:tc>
      </w:tr>
      <w:tr w:rsidR="003320D9" w:rsidRPr="00A9554B" w:rsidTr="007A0BD5">
        <w:trPr>
          <w:trHeight w:val="300"/>
          <w:jc w:val="center"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320D9" w:rsidRPr="00A9554B" w:rsidRDefault="003320D9" w:rsidP="006C5718">
            <w:pPr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20D9" w:rsidRPr="00A9554B" w:rsidRDefault="003320D9" w:rsidP="003320D9">
            <w:pPr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Total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0D9" w:rsidRPr="00A9554B" w:rsidRDefault="006C085C" w:rsidP="003320D9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320D9" w:rsidRPr="00A9554B" w:rsidRDefault="003320D9" w:rsidP="003320D9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</w:tr>
    </w:tbl>
    <w:p w:rsidR="00055A51" w:rsidRDefault="00055A51" w:rsidP="009F66D9">
      <w:pPr>
        <w:pStyle w:val="Textoindependiente"/>
        <w:rPr>
          <w:rFonts w:ascii="gobCL" w:hAnsi="gobCL"/>
        </w:rPr>
      </w:pPr>
    </w:p>
    <w:p w:rsidR="00B522B5" w:rsidRDefault="006C085C" w:rsidP="009F66D9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De los permisos extraordinarios de pesca señalados en Tabla 1, se han registrado </w:t>
      </w:r>
      <w:r w:rsidR="00B522B5">
        <w:rPr>
          <w:rFonts w:ascii="gobCL" w:hAnsi="gobCL"/>
        </w:rPr>
        <w:t>renuncias y se efectuaron caducidades</w:t>
      </w:r>
      <w:r>
        <w:rPr>
          <w:rFonts w:ascii="gobCL" w:hAnsi="gobCL"/>
        </w:rPr>
        <w:t>.</w:t>
      </w:r>
    </w:p>
    <w:p w:rsidR="00B522B5" w:rsidRDefault="00B522B5" w:rsidP="009F66D9">
      <w:pPr>
        <w:pStyle w:val="Textoindependiente"/>
        <w:rPr>
          <w:rFonts w:ascii="gobCL" w:hAnsi="gobCL"/>
        </w:rPr>
      </w:pPr>
    </w:p>
    <w:p w:rsidR="009F66D9" w:rsidRDefault="00B522B5" w:rsidP="009F66D9">
      <w:pPr>
        <w:pStyle w:val="Textoindependiente"/>
        <w:rPr>
          <w:rFonts w:ascii="gobCL" w:hAnsi="gobCL"/>
        </w:rPr>
      </w:pPr>
      <w:r>
        <w:rPr>
          <w:rFonts w:ascii="gobCL" w:hAnsi="gobCL"/>
        </w:rPr>
        <w:t>P</w:t>
      </w:r>
      <w:r w:rsidR="006C085C">
        <w:rPr>
          <w:rFonts w:ascii="gobCL" w:hAnsi="gobCL"/>
        </w:rPr>
        <w:t>or lo anterior, y p</w:t>
      </w:r>
      <w:r>
        <w:rPr>
          <w:rFonts w:ascii="gobCL" w:hAnsi="gobCL"/>
        </w:rPr>
        <w:t>ara efectos</w:t>
      </w:r>
      <w:r w:rsidR="006C085C">
        <w:rPr>
          <w:rFonts w:ascii="gobCL" w:hAnsi="gobCL"/>
        </w:rPr>
        <w:t xml:space="preserve"> de identificar los lotes que corresponde re-licitar,</w:t>
      </w:r>
      <w:r>
        <w:rPr>
          <w:rFonts w:ascii="gobCL" w:hAnsi="gobCL"/>
        </w:rPr>
        <w:t xml:space="preserve"> se contempló lo señalado en el Artículo 1</w:t>
      </w:r>
      <w:r w:rsidR="009F66D9" w:rsidRPr="003B2D81">
        <w:rPr>
          <w:rFonts w:ascii="gobCL" w:hAnsi="gobCL"/>
        </w:rPr>
        <w:t>8</w:t>
      </w:r>
      <w:r w:rsidR="00F745C5">
        <w:rPr>
          <w:rFonts w:ascii="gobCL" w:hAnsi="gobCL"/>
        </w:rPr>
        <w:t xml:space="preserve"> G</w:t>
      </w:r>
      <w:r w:rsidR="009F66D9" w:rsidRPr="003B2D81">
        <w:rPr>
          <w:rFonts w:ascii="gobCL" w:hAnsi="gobCL"/>
        </w:rPr>
        <w:t xml:space="preserve"> del D.S. N°97</w:t>
      </w:r>
      <w:r w:rsidR="0071415A">
        <w:rPr>
          <w:rFonts w:ascii="gobCL" w:hAnsi="gobCL"/>
        </w:rPr>
        <w:t xml:space="preserve"> de </w:t>
      </w:r>
      <w:r w:rsidR="009F66D9" w:rsidRPr="003B2D81">
        <w:rPr>
          <w:rFonts w:ascii="gobCL" w:hAnsi="gobCL"/>
        </w:rPr>
        <w:t>1996</w:t>
      </w:r>
      <w:r w:rsidR="009F66D9">
        <w:rPr>
          <w:rFonts w:ascii="gobCL" w:hAnsi="gobCL"/>
        </w:rPr>
        <w:t xml:space="preserve"> del Reglamento de Subasta de Permisos Extraordinarios de Pesca </w:t>
      </w:r>
      <w:r w:rsidR="006C085C">
        <w:rPr>
          <w:rFonts w:ascii="gobCL" w:hAnsi="gobCL"/>
        </w:rPr>
        <w:t xml:space="preserve">en donde se </w:t>
      </w:r>
      <w:r w:rsidR="00C17C13">
        <w:rPr>
          <w:rFonts w:ascii="gobCL" w:hAnsi="gobCL"/>
        </w:rPr>
        <w:t>indica</w:t>
      </w:r>
      <w:r w:rsidR="009F66D9">
        <w:rPr>
          <w:rFonts w:ascii="gobCL" w:hAnsi="gobCL"/>
        </w:rPr>
        <w:t xml:space="preserve"> lo siguiente:</w:t>
      </w:r>
      <w:r w:rsidR="00DF5646">
        <w:rPr>
          <w:rFonts w:ascii="gobCL" w:hAnsi="gobCL"/>
        </w:rPr>
        <w:t xml:space="preserve"> </w:t>
      </w:r>
      <w:r w:rsidR="009F66D9">
        <w:rPr>
          <w:rFonts w:ascii="gobCL" w:hAnsi="gobCL"/>
        </w:rPr>
        <w:t>“</w:t>
      </w:r>
      <w:r w:rsidR="009F66D9" w:rsidRPr="00DF5646">
        <w:rPr>
          <w:rFonts w:ascii="gobCL" w:hAnsi="gobCL"/>
          <w:i/>
        </w:rPr>
        <w:t>En caso de caducidad o renuncia de un permiso extraordinario del sector pesquero artesanal, se procederá a la reasignación de éste, para hacerlo efectivo al año siguiente a la fecha de la caducidad, de conformidad con las normas del Párrafo 4° del presente reglamento. Esta reasignación se realizará sólo entre pescadores artesanales, pudiendo participar en ella las personas que cumplan con el requisito del artículo 18 D del presente reglamento</w:t>
      </w:r>
      <w:r w:rsidR="009F66D9" w:rsidRPr="003B2D81">
        <w:rPr>
          <w:rFonts w:ascii="gobCL" w:hAnsi="gobCL"/>
        </w:rPr>
        <w:t>”</w:t>
      </w:r>
      <w:r w:rsidR="00DF5646">
        <w:rPr>
          <w:rFonts w:ascii="gobCL" w:hAnsi="gobCL"/>
        </w:rPr>
        <w:t>.</w:t>
      </w:r>
    </w:p>
    <w:p w:rsidR="00DB78B7" w:rsidRDefault="00DB78B7" w:rsidP="009F66D9">
      <w:pPr>
        <w:pStyle w:val="Textoindependiente"/>
        <w:rPr>
          <w:rFonts w:ascii="gobCL" w:hAnsi="gobCL"/>
        </w:rPr>
      </w:pPr>
    </w:p>
    <w:p w:rsidR="00B522B5" w:rsidRDefault="000E2DA6" w:rsidP="00EC1010">
      <w:pPr>
        <w:jc w:val="both"/>
        <w:rPr>
          <w:rFonts w:ascii="gobCL" w:hAnsi="gobCL"/>
          <w:sz w:val="20"/>
        </w:rPr>
      </w:pPr>
      <w:r>
        <w:rPr>
          <w:rFonts w:ascii="gobCL" w:hAnsi="gobCL"/>
          <w:sz w:val="20"/>
        </w:rPr>
        <w:t>Además,</w:t>
      </w:r>
      <w:r w:rsidR="00B522B5">
        <w:rPr>
          <w:rFonts w:ascii="gobCL" w:hAnsi="gobCL"/>
          <w:sz w:val="20"/>
        </w:rPr>
        <w:t xml:space="preserve"> se tuvo en consideración Memorándum DJ N° 320/2019 en donde se señala lo siguiente: </w:t>
      </w:r>
    </w:p>
    <w:p w:rsidR="00B522B5" w:rsidRDefault="00B522B5" w:rsidP="00EC1010">
      <w:pPr>
        <w:jc w:val="both"/>
        <w:rPr>
          <w:rFonts w:ascii="gobCL" w:hAnsi="gobCL"/>
          <w:sz w:val="20"/>
        </w:rPr>
      </w:pPr>
      <w:r>
        <w:rPr>
          <w:rFonts w:ascii="gobCL" w:hAnsi="gobCL"/>
          <w:noProof/>
          <w:sz w:val="20"/>
          <w:lang w:val="es-CL" w:eastAsia="es-CL"/>
        </w:rPr>
        <w:drawing>
          <wp:inline distT="0" distB="0" distL="0" distR="0">
            <wp:extent cx="5621572" cy="135943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621" cy="135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2B5" w:rsidRDefault="00B522B5" w:rsidP="00EC1010">
      <w:pPr>
        <w:jc w:val="both"/>
        <w:rPr>
          <w:rFonts w:ascii="gobCL" w:hAnsi="gobCL"/>
          <w:sz w:val="20"/>
        </w:rPr>
      </w:pPr>
    </w:p>
    <w:p w:rsidR="00B522B5" w:rsidRDefault="00B522B5" w:rsidP="00EC1010">
      <w:pPr>
        <w:jc w:val="both"/>
        <w:rPr>
          <w:rFonts w:ascii="gobCL" w:hAnsi="gobCL"/>
          <w:sz w:val="20"/>
        </w:rPr>
      </w:pPr>
      <w:r>
        <w:rPr>
          <w:rFonts w:ascii="gobCL" w:hAnsi="gobCL"/>
          <w:sz w:val="20"/>
        </w:rPr>
        <w:t xml:space="preserve">De acuerdo a dicho Memorándum, los últimos años no se ha considerado re-licitar lotes hayan sido sujetos de una segunda subasta de re-licitación. </w:t>
      </w:r>
    </w:p>
    <w:p w:rsidR="00B522B5" w:rsidRDefault="00B522B5" w:rsidP="00EC1010">
      <w:pPr>
        <w:jc w:val="both"/>
        <w:rPr>
          <w:rFonts w:ascii="gobCL" w:hAnsi="gobCL"/>
          <w:sz w:val="20"/>
        </w:rPr>
      </w:pPr>
    </w:p>
    <w:p w:rsidR="002E0776" w:rsidRDefault="002E0776" w:rsidP="002E0776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 xml:space="preserve">Por lo anterior, es importante señalar que los lotes 12 y 13 renunciados por Daniel Guzmán y los lotes 10, 11 y 14, renunciados por Néstor Silva Sanhueza, ya fueron subastados en una segunda re-licitación anterior (Tabla 1). </w:t>
      </w:r>
    </w:p>
    <w:p w:rsidR="002E0776" w:rsidRDefault="002E0776" w:rsidP="002E0776">
      <w:pPr>
        <w:pStyle w:val="Textoindependiente"/>
        <w:rPr>
          <w:rFonts w:ascii="gobCL" w:hAnsi="gobCL"/>
          <w:bCs/>
        </w:rPr>
      </w:pPr>
    </w:p>
    <w:p w:rsidR="002E0776" w:rsidRDefault="002E0776" w:rsidP="002E0776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 xml:space="preserve">La información y la trazabilidad de </w:t>
      </w:r>
      <w:r w:rsidR="006C085C">
        <w:rPr>
          <w:rFonts w:ascii="gobCL" w:hAnsi="gobCL"/>
          <w:bCs/>
        </w:rPr>
        <w:t>los lotes que registran hasta una segunda re-licitación</w:t>
      </w:r>
      <w:r>
        <w:rPr>
          <w:rFonts w:ascii="gobCL" w:hAnsi="gobCL"/>
          <w:bCs/>
        </w:rPr>
        <w:t xml:space="preserve">, se resume en la Tabla </w:t>
      </w:r>
      <w:r w:rsidR="00A9554B">
        <w:rPr>
          <w:rFonts w:ascii="gobCL" w:hAnsi="gobCL"/>
          <w:bCs/>
        </w:rPr>
        <w:t>2</w:t>
      </w:r>
      <w:r>
        <w:rPr>
          <w:rFonts w:ascii="gobCL" w:hAnsi="gobCL"/>
          <w:bCs/>
        </w:rPr>
        <w:t xml:space="preserve">, donde se identifican las resoluciones que dieron origen y continuaron con la evolución del PEP de bacalao de profundidad asociado a los lotes renunciados </w:t>
      </w:r>
      <w:r w:rsidRPr="00483AC3">
        <w:rPr>
          <w:rFonts w:ascii="gobCL" w:hAnsi="gobCL"/>
          <w:bCs/>
          <w:i/>
        </w:rPr>
        <w:t>in comento</w:t>
      </w:r>
      <w:r>
        <w:rPr>
          <w:rFonts w:ascii="gobCL" w:hAnsi="gobCL"/>
          <w:bCs/>
        </w:rPr>
        <w:t>.</w:t>
      </w:r>
    </w:p>
    <w:p w:rsidR="002E0776" w:rsidRDefault="002E0776" w:rsidP="002E0776">
      <w:pPr>
        <w:pStyle w:val="Textoindependiente"/>
        <w:rPr>
          <w:rFonts w:ascii="gobCL" w:hAnsi="gobCL"/>
          <w:bCs/>
        </w:rPr>
      </w:pPr>
    </w:p>
    <w:p w:rsidR="002E0776" w:rsidRPr="00C17C13" w:rsidRDefault="002E0776" w:rsidP="002E0776">
      <w:pPr>
        <w:jc w:val="center"/>
        <w:rPr>
          <w:rFonts w:ascii="gobCL" w:hAnsi="gobCL"/>
          <w:bCs/>
        </w:rPr>
      </w:pPr>
      <w:r w:rsidRPr="00DB78B7">
        <w:rPr>
          <w:rFonts w:ascii="gobCL" w:hAnsi="gobCL"/>
          <w:sz w:val="20"/>
        </w:rPr>
        <w:t xml:space="preserve">Tabla </w:t>
      </w:r>
      <w:r w:rsidR="00A9554B">
        <w:rPr>
          <w:rFonts w:ascii="gobCL" w:hAnsi="gobCL"/>
          <w:sz w:val="20"/>
        </w:rPr>
        <w:t>2</w:t>
      </w:r>
      <w:r w:rsidRPr="00DB78B7">
        <w:rPr>
          <w:rFonts w:ascii="gobCL" w:hAnsi="gobCL"/>
          <w:sz w:val="20"/>
        </w:rPr>
        <w:t xml:space="preserve">. </w:t>
      </w:r>
      <w:r>
        <w:rPr>
          <w:rFonts w:ascii="gobCL" w:hAnsi="gobCL"/>
          <w:sz w:val="20"/>
        </w:rPr>
        <w:t>Resoluciones exentas relacionadas con lotes PEP</w:t>
      </w:r>
      <w:r w:rsidRPr="00F80B0C">
        <w:rPr>
          <w:rFonts w:ascii="gobCL" w:hAnsi="gobCL"/>
          <w:sz w:val="20"/>
        </w:rPr>
        <w:t xml:space="preserve"> de bacalao</w:t>
      </w:r>
      <w:r>
        <w:rPr>
          <w:rFonts w:ascii="gobCL" w:hAnsi="gobCL"/>
          <w:sz w:val="20"/>
        </w:rPr>
        <w:t xml:space="preserve"> de </w:t>
      </w:r>
      <w:proofErr w:type="gramStart"/>
      <w:r>
        <w:rPr>
          <w:rFonts w:ascii="gobCL" w:hAnsi="gobCL"/>
          <w:sz w:val="20"/>
        </w:rPr>
        <w:t>profundidad renunciados</w:t>
      </w:r>
      <w:proofErr w:type="gramEnd"/>
      <w:r>
        <w:rPr>
          <w:rFonts w:ascii="gobCL" w:hAnsi="gobCL"/>
          <w:sz w:val="20"/>
        </w:rPr>
        <w:t xml:space="preserve"> y re- licitados por 2ª vez.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1047"/>
        <w:gridCol w:w="6171"/>
      </w:tblGrid>
      <w:tr w:rsidR="002E0776" w:rsidRPr="00A9554B" w:rsidTr="00A9554B">
        <w:trPr>
          <w:trHeight w:val="300"/>
          <w:jc w:val="center"/>
        </w:trPr>
        <w:tc>
          <w:tcPr>
            <w:tcW w:w="0" w:type="auto"/>
            <w:shd w:val="clear" w:color="000000" w:fill="FFFFFF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b/>
                <w:bCs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sz w:val="18"/>
                <w:szCs w:val="20"/>
              </w:rPr>
              <w:t>N° Lote/ Res. Ex. que deja sin efecto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b/>
                <w:bCs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sz w:val="18"/>
                <w:szCs w:val="20"/>
              </w:rPr>
              <w:t xml:space="preserve">Res. Ex. N°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b/>
                <w:bCs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sz w:val="18"/>
                <w:szCs w:val="20"/>
              </w:rPr>
              <w:t>Materia (resumen)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 w:val="restart"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Lote 12 /</w:t>
            </w:r>
          </w:p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Res. Ex. 1844/2021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4448 /2017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Otorga a Juan José Guzmán LOTE 9 PEP (origen 0,5%, 2018-2027)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2547 / 2018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Acepta renuncia de Juan José Guzmán LOTE 9 PEP otorgado por R. Ex. 4448 / 2017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4090/2018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Aprueba Bases de 1ª  re – licitación, Lote queda desierto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195/2019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Aprueba Bases 2ª subasta de 1ª  re - licitación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2043 / 2019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Otorga  PEP, Lote 12 a Raúl González entre 2019-2027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77/ 2021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Transferencia de PEP desde Raúl González a Daniel Molina Cisternas 2021 - 2027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1844 / 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Acepta renuncia de PEP de Daniel Molina Cisternas (Res Ex. 77 /2021)</w:t>
            </w:r>
          </w:p>
        </w:tc>
      </w:tr>
      <w:tr w:rsidR="002E0776" w:rsidRPr="00A9554B" w:rsidTr="00A9554B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 xml:space="preserve">Lote 13/ </w:t>
            </w:r>
          </w:p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Res. Ex. 1844/2021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4438 / 2017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Otorga a Marcos Silva LOTE 3 PEP (origen 0,5%, 2018-2027)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2548 / 2018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Acepta renuncia de Macos Silva LOTE 3 PEP otorgado por R. Ex. 4438 / 2017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4090/2018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Aprueba Bases de 1</w:t>
            </w:r>
            <w:r w:rsidRPr="00A9554B">
              <w:rPr>
                <w:rFonts w:ascii="gobCL" w:hAnsi="gobCL"/>
                <w:sz w:val="18"/>
                <w:szCs w:val="20"/>
                <w:vertAlign w:val="superscript"/>
              </w:rPr>
              <w:t>a</w:t>
            </w:r>
            <w:r w:rsidRPr="00A9554B">
              <w:rPr>
                <w:rFonts w:ascii="gobCL" w:hAnsi="gobCL"/>
                <w:sz w:val="18"/>
                <w:szCs w:val="20"/>
              </w:rPr>
              <w:t xml:space="preserve"> re – licitación, Lote queda desierto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195/2019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Aprueba Bases 2ª subasta de 1ª  re - licitación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2044/ 2019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Otorga  PEP, Lote 13 a Raúl González entre 2019-2027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78 / 2021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Transferencia de PEP desde Raúl González a Daniel Molina Cisternas 2021 - 2027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1844 / 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Acepta renuncia de PEP de Daniel Molina Cisternas (Res Ex. 78/2021)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Lote 10 /</w:t>
            </w:r>
          </w:p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Res. Ex. 107/2021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4214/2016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Otorga PEP LOTE 10 a Alexis Cabrera (0,5% Origen 2017-2026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2059 / 2017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Acepta renuncia PEP Alexis Cabrera otorgado por Res. Ex. 2059-2017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3741/2017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 xml:space="preserve">Aprueba bases de 1ª re licitación 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4412/2017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Otorga a Juan Guzmán Lote 10 PEP entre 2018-2026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2547/2018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Acepta renuncia de Juan Guzmán LOTE 10 PEP otorgado por R. Ex. 4412 / 2017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4090/2018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Aprueba Bases de 2ª</w:t>
            </w:r>
            <w:r w:rsidRPr="00A9554B">
              <w:rPr>
                <w:rFonts w:ascii="gobCL" w:hAnsi="gobCL"/>
                <w:sz w:val="18"/>
                <w:szCs w:val="20"/>
                <w:vertAlign w:val="superscript"/>
              </w:rPr>
              <w:t xml:space="preserve"> </w:t>
            </w:r>
            <w:r w:rsidRPr="00A9554B">
              <w:rPr>
                <w:rFonts w:ascii="gobCL" w:hAnsi="gobCL"/>
                <w:sz w:val="18"/>
                <w:szCs w:val="20"/>
              </w:rPr>
              <w:t xml:space="preserve"> re – licitación, Lote queda desierto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195/2019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Aprueba Bases 2ª subasta de 2ª re – licitación (Res. Ex. 4090-2018)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2040 /2019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Otorga PEP Lote 10 a Néstor Silva entre 2019-2026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107 / 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Acepta renuncia de PEP de Néstor Silva (Res Ex. 2040 /2019)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Lote 14/</w:t>
            </w:r>
          </w:p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Res. Ex. 107/2021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4220/2016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Otorga PEP Lote 5 a Bernardo Ceballos (0,5% Origen 2017-2026)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2625/2018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Acepta renuncia PEP Bernardo Ceballos (Res. Ex. 4220/2016)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  <w:highlight w:val="yellow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4090/2018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  <w:highlight w:val="yellow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Aprueba Bases de 1</w:t>
            </w:r>
            <w:r w:rsidRPr="00A9554B">
              <w:rPr>
                <w:rFonts w:ascii="gobCL" w:hAnsi="gobCL"/>
                <w:sz w:val="18"/>
                <w:szCs w:val="20"/>
                <w:vertAlign w:val="superscript"/>
              </w:rPr>
              <w:t xml:space="preserve">a </w:t>
            </w:r>
            <w:r w:rsidRPr="00A9554B">
              <w:rPr>
                <w:rFonts w:ascii="gobCL" w:hAnsi="gobCL"/>
                <w:sz w:val="18"/>
                <w:szCs w:val="20"/>
              </w:rPr>
              <w:t xml:space="preserve"> re – licitación, Lote queda desierto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195/2019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Aprueba Bases 2ª subasta de 1ª  re - licitación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2042 /2019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Otorga PEP a Néstor Silva entre 2019-2026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107 / 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Acepta renuncia de PEP de Néstor Silva (Res Ex. 2042 /2019)</w:t>
            </w:r>
          </w:p>
        </w:tc>
      </w:tr>
      <w:tr w:rsidR="002E0776" w:rsidRPr="00A9554B" w:rsidTr="00A9554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Lote 11 /</w:t>
            </w:r>
          </w:p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Res. Ex. 1846/2021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4447/2017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Otorga PEP Lote 8 a Juan Guzmán (0,5% Origen 2018-2027)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2547/2018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Acepta renuncia de Juan Guzmán Lote 8 PEP otorgado por R. Ex. 4447 / 2017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  <w:highlight w:val="yellow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4090/2018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  <w:highlight w:val="yellow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Aprueba Bases de 1</w:t>
            </w:r>
            <w:r w:rsidRPr="00A9554B">
              <w:rPr>
                <w:rFonts w:ascii="gobCL" w:hAnsi="gobCL"/>
                <w:sz w:val="18"/>
                <w:szCs w:val="20"/>
                <w:vertAlign w:val="superscript"/>
              </w:rPr>
              <w:t xml:space="preserve">a </w:t>
            </w:r>
            <w:r w:rsidRPr="00A9554B">
              <w:rPr>
                <w:rFonts w:ascii="gobCL" w:hAnsi="gobCL"/>
                <w:sz w:val="18"/>
                <w:szCs w:val="20"/>
              </w:rPr>
              <w:t xml:space="preserve"> re – licitación, Lote queda desierto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195/2019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Aprueba Bases 2ª subasta de 1ª  re - licitación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2041/2019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Otorga PEP Lote 11 a Néstor Silva entre 2019-2027</w:t>
            </w:r>
          </w:p>
        </w:tc>
      </w:tr>
      <w:tr w:rsidR="002E0776" w:rsidRPr="00A9554B" w:rsidTr="00A9554B">
        <w:trPr>
          <w:trHeight w:val="30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jc w:val="center"/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1846 / 2021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E0776" w:rsidRPr="00A9554B" w:rsidRDefault="002E0776" w:rsidP="00291E75">
            <w:pPr>
              <w:rPr>
                <w:rFonts w:ascii="gobCL" w:hAnsi="gobCL"/>
                <w:sz w:val="18"/>
                <w:szCs w:val="20"/>
              </w:rPr>
            </w:pPr>
            <w:r w:rsidRPr="00A9554B">
              <w:rPr>
                <w:rFonts w:ascii="gobCL" w:hAnsi="gobCL"/>
                <w:sz w:val="18"/>
                <w:szCs w:val="20"/>
              </w:rPr>
              <w:t>Acepta renuncia de PEP de Néstor Silva (Res Ex. 2041 /2019)</w:t>
            </w:r>
          </w:p>
        </w:tc>
      </w:tr>
    </w:tbl>
    <w:p w:rsidR="002E0776" w:rsidRDefault="002E0776" w:rsidP="00EC1010">
      <w:pPr>
        <w:jc w:val="both"/>
        <w:rPr>
          <w:rFonts w:ascii="gobCL" w:hAnsi="gobCL"/>
          <w:sz w:val="20"/>
        </w:rPr>
      </w:pPr>
    </w:p>
    <w:p w:rsidR="002E0776" w:rsidRDefault="002E0776" w:rsidP="00EC1010">
      <w:pPr>
        <w:jc w:val="both"/>
        <w:rPr>
          <w:rFonts w:ascii="gobCL" w:hAnsi="gobCL"/>
          <w:sz w:val="20"/>
        </w:rPr>
      </w:pPr>
    </w:p>
    <w:p w:rsidR="002E0776" w:rsidRDefault="002E0776" w:rsidP="00EC1010">
      <w:pPr>
        <w:jc w:val="both"/>
        <w:rPr>
          <w:rFonts w:ascii="gobCL" w:hAnsi="gobCL"/>
          <w:sz w:val="20"/>
        </w:rPr>
      </w:pPr>
    </w:p>
    <w:p w:rsidR="00DB78B7" w:rsidRPr="00663578" w:rsidRDefault="006C085C" w:rsidP="00EC1010">
      <w:pPr>
        <w:jc w:val="both"/>
        <w:rPr>
          <w:rFonts w:ascii="gobCL" w:hAnsi="gobCL"/>
          <w:sz w:val="20"/>
        </w:rPr>
      </w:pPr>
      <w:r>
        <w:rPr>
          <w:rFonts w:ascii="gobCL" w:hAnsi="gobCL"/>
          <w:sz w:val="20"/>
        </w:rPr>
        <w:lastRenderedPageBreak/>
        <w:t>Luego del análisis anterior, se identificaron</w:t>
      </w:r>
      <w:r w:rsidR="009F66D9">
        <w:rPr>
          <w:rFonts w:ascii="gobCL" w:hAnsi="gobCL"/>
          <w:sz w:val="20"/>
        </w:rPr>
        <w:t xml:space="preserve"> l</w:t>
      </w:r>
      <w:r w:rsidR="009F66D9" w:rsidRPr="003E5538">
        <w:rPr>
          <w:rFonts w:ascii="gobCL" w:hAnsi="gobCL"/>
          <w:sz w:val="20"/>
        </w:rPr>
        <w:t xml:space="preserve">os permisos extraordinarios </w:t>
      </w:r>
      <w:r w:rsidR="00B522B5">
        <w:rPr>
          <w:rFonts w:ascii="gobCL" w:hAnsi="gobCL"/>
          <w:sz w:val="20"/>
        </w:rPr>
        <w:t xml:space="preserve">de pesca </w:t>
      </w:r>
      <w:r w:rsidR="009F66D9" w:rsidRPr="003E5538">
        <w:rPr>
          <w:rFonts w:ascii="gobCL" w:hAnsi="gobCL"/>
          <w:sz w:val="20"/>
        </w:rPr>
        <w:t>que fueron sujeto de renuncia</w:t>
      </w:r>
      <w:r w:rsidR="00C66BDB">
        <w:rPr>
          <w:rFonts w:ascii="gobCL" w:hAnsi="gobCL"/>
          <w:sz w:val="20"/>
        </w:rPr>
        <w:t>s</w:t>
      </w:r>
      <w:r w:rsidR="00073793">
        <w:rPr>
          <w:rFonts w:ascii="gobCL" w:hAnsi="gobCL"/>
          <w:sz w:val="20"/>
        </w:rPr>
        <w:t xml:space="preserve"> y caducidad</w:t>
      </w:r>
      <w:r w:rsidR="00B522B5">
        <w:rPr>
          <w:rFonts w:ascii="gobCL" w:hAnsi="gobCL"/>
          <w:sz w:val="20"/>
        </w:rPr>
        <w:t xml:space="preserve"> durante el año </w:t>
      </w:r>
      <w:r w:rsidR="00B522B5" w:rsidRPr="00663578">
        <w:rPr>
          <w:rFonts w:ascii="gobCL" w:hAnsi="gobCL"/>
          <w:sz w:val="20"/>
        </w:rPr>
        <w:t>2020</w:t>
      </w:r>
      <w:r w:rsidR="009F66D9" w:rsidRPr="00663578">
        <w:rPr>
          <w:rFonts w:ascii="gobCL" w:hAnsi="gobCL"/>
          <w:sz w:val="20"/>
        </w:rPr>
        <w:t xml:space="preserve">, </w:t>
      </w:r>
      <w:r w:rsidR="00B522B5" w:rsidRPr="00663578">
        <w:rPr>
          <w:rFonts w:ascii="gobCL" w:hAnsi="gobCL"/>
          <w:sz w:val="20"/>
        </w:rPr>
        <w:t>y que hayan registrado hasta la primera re-licitación</w:t>
      </w:r>
      <w:r>
        <w:rPr>
          <w:rFonts w:ascii="gobCL" w:hAnsi="gobCL"/>
          <w:sz w:val="20"/>
        </w:rPr>
        <w:t xml:space="preserve"> (Tabla 3). Dichos lotes, tota</w:t>
      </w:r>
      <w:r w:rsidR="006C5718">
        <w:rPr>
          <w:rFonts w:ascii="gobCL" w:hAnsi="gobCL"/>
          <w:sz w:val="20"/>
        </w:rPr>
        <w:t>l</w:t>
      </w:r>
      <w:r>
        <w:rPr>
          <w:rFonts w:ascii="gobCL" w:hAnsi="gobCL"/>
          <w:sz w:val="20"/>
        </w:rPr>
        <w:t xml:space="preserve">izan el 11,5% de la cuota y </w:t>
      </w:r>
      <w:r w:rsidR="009F66D9" w:rsidRPr="00663578">
        <w:rPr>
          <w:rFonts w:ascii="gobCL" w:hAnsi="gobCL"/>
          <w:sz w:val="20"/>
        </w:rPr>
        <w:t xml:space="preserve">corresponde sean </w:t>
      </w:r>
      <w:r>
        <w:rPr>
          <w:rFonts w:ascii="gobCL" w:hAnsi="gobCL"/>
          <w:sz w:val="20"/>
        </w:rPr>
        <w:t>re-</w:t>
      </w:r>
      <w:r w:rsidR="009F66D9" w:rsidRPr="00663578">
        <w:rPr>
          <w:rFonts w:ascii="gobCL" w:hAnsi="gobCL"/>
          <w:sz w:val="20"/>
        </w:rPr>
        <w:t xml:space="preserve">licitados </w:t>
      </w:r>
      <w:r w:rsidR="00C17C13" w:rsidRPr="00663578">
        <w:rPr>
          <w:rFonts w:ascii="gobCL" w:hAnsi="gobCL"/>
          <w:sz w:val="20"/>
        </w:rPr>
        <w:t>para</w:t>
      </w:r>
      <w:r w:rsidR="009F66D9" w:rsidRPr="00663578">
        <w:rPr>
          <w:rFonts w:ascii="gobCL" w:hAnsi="gobCL"/>
          <w:sz w:val="20"/>
        </w:rPr>
        <w:t xml:space="preserve"> el sector artesanal, de acuerdo a la resolución que les dio origen. Quedando excluidos de </w:t>
      </w:r>
      <w:r w:rsidR="00EC1010" w:rsidRPr="00663578">
        <w:rPr>
          <w:rFonts w:ascii="gobCL" w:hAnsi="gobCL"/>
          <w:sz w:val="20"/>
        </w:rPr>
        <w:t xml:space="preserve">participar en la subasta aquellos titulares que renunciaron a sus </w:t>
      </w:r>
      <w:r w:rsidR="007E0635" w:rsidRPr="00663578">
        <w:rPr>
          <w:rFonts w:ascii="gobCL" w:hAnsi="gobCL"/>
          <w:sz w:val="20"/>
        </w:rPr>
        <w:t>permisos</w:t>
      </w:r>
      <w:r w:rsidR="001E2E62" w:rsidRPr="00663578">
        <w:rPr>
          <w:rFonts w:ascii="gobCL" w:hAnsi="gobCL"/>
          <w:sz w:val="20"/>
        </w:rPr>
        <w:t xml:space="preserve"> o se les aplicó caducidad</w:t>
      </w:r>
      <w:r w:rsidR="00B522B5" w:rsidRPr="00663578">
        <w:rPr>
          <w:rFonts w:ascii="gobCL" w:hAnsi="gobCL"/>
          <w:sz w:val="20"/>
        </w:rPr>
        <w:t>, en función de los lotes a que dio origen la renuncia o caducidad</w:t>
      </w:r>
      <w:r w:rsidR="00EC1010" w:rsidRPr="00663578">
        <w:rPr>
          <w:rFonts w:ascii="gobCL" w:hAnsi="gobCL"/>
          <w:sz w:val="20"/>
        </w:rPr>
        <w:t>.</w:t>
      </w:r>
      <w:r w:rsidR="00C64F3B" w:rsidRPr="00663578">
        <w:rPr>
          <w:rFonts w:ascii="gobCL" w:hAnsi="gobCL"/>
          <w:sz w:val="20"/>
        </w:rPr>
        <w:t xml:space="preserve"> </w:t>
      </w:r>
    </w:p>
    <w:p w:rsidR="00C17C13" w:rsidRPr="00663578" w:rsidRDefault="00C17C13" w:rsidP="00EC1010">
      <w:pPr>
        <w:jc w:val="both"/>
        <w:rPr>
          <w:rFonts w:ascii="gobCL" w:hAnsi="gobCL"/>
          <w:sz w:val="20"/>
        </w:rPr>
      </w:pPr>
    </w:p>
    <w:p w:rsidR="00055A51" w:rsidRPr="00663578" w:rsidRDefault="00055A51" w:rsidP="00055A51">
      <w:pPr>
        <w:jc w:val="center"/>
        <w:rPr>
          <w:rFonts w:ascii="gobCL" w:hAnsi="gobCL"/>
          <w:bCs/>
        </w:rPr>
      </w:pPr>
      <w:r w:rsidRPr="00663578">
        <w:rPr>
          <w:rFonts w:ascii="gobCL" w:hAnsi="gobCL"/>
          <w:sz w:val="20"/>
        </w:rPr>
        <w:t xml:space="preserve">Tabla </w:t>
      </w:r>
      <w:r w:rsidR="00A9554B" w:rsidRPr="00663578">
        <w:rPr>
          <w:rFonts w:ascii="gobCL" w:hAnsi="gobCL"/>
          <w:sz w:val="20"/>
        </w:rPr>
        <w:t>3</w:t>
      </w:r>
      <w:r w:rsidR="00C17C13" w:rsidRPr="00663578">
        <w:rPr>
          <w:rFonts w:ascii="gobCL" w:hAnsi="gobCL"/>
          <w:sz w:val="20"/>
        </w:rPr>
        <w:t>.</w:t>
      </w:r>
      <w:r w:rsidR="00EF0C68" w:rsidRPr="00663578">
        <w:rPr>
          <w:rFonts w:ascii="gobCL" w:hAnsi="gobCL"/>
          <w:sz w:val="20"/>
        </w:rPr>
        <w:t xml:space="preserve"> </w:t>
      </w:r>
      <w:r w:rsidR="00C17C13" w:rsidRPr="00663578">
        <w:rPr>
          <w:rFonts w:ascii="gobCL" w:hAnsi="gobCL"/>
          <w:sz w:val="20"/>
        </w:rPr>
        <w:t>Permisos extraordinarios de pesca (PEP) de bacalao de profundidad que fueron renunciados</w:t>
      </w:r>
      <w:r w:rsidR="00E9793D" w:rsidRPr="00663578">
        <w:rPr>
          <w:rFonts w:ascii="gobCL" w:hAnsi="gobCL"/>
          <w:sz w:val="20"/>
        </w:rPr>
        <w:t xml:space="preserve"> y caducados</w:t>
      </w:r>
      <w:r w:rsidR="00B522B5" w:rsidRPr="00663578">
        <w:rPr>
          <w:rFonts w:ascii="gobCL" w:hAnsi="gobCL"/>
          <w:sz w:val="20"/>
        </w:rPr>
        <w:t>, año 2020 y 2021 y que corresponden re-licitar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198"/>
        <w:gridCol w:w="2898"/>
        <w:gridCol w:w="1354"/>
        <w:gridCol w:w="146"/>
        <w:gridCol w:w="1413"/>
        <w:gridCol w:w="1134"/>
      </w:tblGrid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b/>
                <w:bCs/>
                <w:sz w:val="18"/>
                <w:szCs w:val="20"/>
              </w:rPr>
            </w:pPr>
            <w:r w:rsidRPr="00663578">
              <w:rPr>
                <w:rFonts w:ascii="gobCL" w:hAnsi="gobCL"/>
                <w:b/>
                <w:bCs/>
                <w:sz w:val="18"/>
                <w:szCs w:val="20"/>
              </w:rPr>
              <w:t>Lote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b/>
                <w:bCs/>
                <w:sz w:val="18"/>
                <w:szCs w:val="20"/>
              </w:rPr>
            </w:pPr>
            <w:r w:rsidRPr="00663578">
              <w:rPr>
                <w:rFonts w:ascii="gobCL" w:hAnsi="gobCL"/>
                <w:b/>
                <w:bCs/>
                <w:sz w:val="18"/>
                <w:szCs w:val="20"/>
              </w:rPr>
              <w:t>Titular PEP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b/>
                <w:bCs/>
                <w:sz w:val="18"/>
                <w:szCs w:val="20"/>
              </w:rPr>
            </w:pPr>
            <w:r w:rsidRPr="00663578">
              <w:rPr>
                <w:rFonts w:ascii="gobCL" w:hAnsi="gobCL"/>
                <w:b/>
                <w:bCs/>
                <w:sz w:val="18"/>
                <w:szCs w:val="20"/>
              </w:rPr>
              <w:t xml:space="preserve">Inicio proceso de renuncia o caducidad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b/>
                <w:bCs/>
                <w:sz w:val="18"/>
                <w:szCs w:val="20"/>
              </w:rPr>
            </w:pPr>
            <w:r w:rsidRPr="00663578">
              <w:rPr>
                <w:rFonts w:ascii="gobCL" w:hAnsi="gobCL"/>
                <w:b/>
                <w:bCs/>
                <w:sz w:val="18"/>
                <w:szCs w:val="20"/>
              </w:rPr>
              <w:t xml:space="preserve">Res. Ex. que deja sin efecto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b/>
                <w:bCs/>
                <w:sz w:val="18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b/>
                <w:bCs/>
                <w:sz w:val="18"/>
                <w:szCs w:val="20"/>
              </w:rPr>
            </w:pPr>
            <w:r w:rsidRPr="00663578">
              <w:rPr>
                <w:rFonts w:ascii="gobCL" w:hAnsi="gobCL"/>
                <w:b/>
                <w:bCs/>
                <w:sz w:val="18"/>
                <w:szCs w:val="20"/>
              </w:rPr>
              <w:t>Efecto Res. Ex.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b/>
                <w:bCs/>
                <w:sz w:val="18"/>
                <w:szCs w:val="20"/>
              </w:rPr>
            </w:pPr>
            <w:r w:rsidRPr="00663578">
              <w:rPr>
                <w:rFonts w:ascii="gobCL" w:hAnsi="gobCL"/>
                <w:b/>
                <w:bCs/>
                <w:sz w:val="18"/>
                <w:szCs w:val="20"/>
              </w:rPr>
              <w:t>Tamaño del lote (%) fijo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Luis Lemus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virtual N° 858, 27/07/20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2529-2020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Caduca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2,50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Juan José Guzmán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N° 8130, 11/12/20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09-2021*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rPr>
                <w:rFonts w:ascii="gobCL" w:hAnsi="gobCL"/>
                <w:sz w:val="18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1,00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Bolivar Guzmán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N° 8131, 11/12/20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10-2021*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1,00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Luis Lemus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virtual N° 858, 27/07/20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2529-2020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sz w:val="18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Caduca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Bolivar Guzmán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virtual N° 124, 04/06/20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1544-2020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rPr>
                <w:rFonts w:ascii="gobCL" w:hAnsi="gobCL"/>
                <w:sz w:val="18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Daniel Molina Cisternas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N° 8310, 23/12/20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109-2021*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rPr>
                <w:rFonts w:ascii="gobCL" w:hAnsi="gobCL"/>
                <w:sz w:val="18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Daniel Molina Cisternas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N° 8310, 23/12/20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109-2021*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rPr>
                <w:rFonts w:ascii="gobCL" w:hAnsi="gobCL"/>
                <w:sz w:val="18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Daniel Molina Cisternas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N° 8308, 23/12/20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109-2021*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rPr>
                <w:rFonts w:ascii="gobCL" w:hAnsi="gobCL"/>
                <w:sz w:val="18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1,00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Daniel Molina Cisternas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N° 8309, 23/12/20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109-2021*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rPr>
                <w:rFonts w:ascii="gobCL" w:hAnsi="gobCL"/>
                <w:sz w:val="18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David Cisterna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virtual N° 8176, 21/12/20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53-2021*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rPr>
                <w:rFonts w:ascii="gobCL" w:hAnsi="gobCL"/>
                <w:sz w:val="18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Paola Mora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virtual N° 3115, 14/12/20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08-2021*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rPr>
                <w:rFonts w:ascii="gobCL" w:hAnsi="gobCL"/>
                <w:sz w:val="18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Roberto González Navarro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virtual N° 2733, 20/10/20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2683-2020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rPr>
                <w:rFonts w:ascii="gobCL" w:hAnsi="gobCL"/>
                <w:sz w:val="18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8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Roberto González Navarro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virtual N° 2733, 20/10/20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2683-2020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61C" w:rsidRPr="00663578" w:rsidRDefault="001E361C" w:rsidP="001E361C">
            <w:pPr>
              <w:rPr>
                <w:rFonts w:ascii="gobCL" w:hAnsi="gobCL"/>
                <w:sz w:val="18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8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Roberto González Navarro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virtual N° 1618, 31/05/21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1845-2021**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361C" w:rsidRPr="00663578" w:rsidRDefault="001E361C" w:rsidP="001E361C">
            <w:pPr>
              <w:rPr>
                <w:rFonts w:ascii="gobCL" w:hAnsi="gobCL"/>
                <w:sz w:val="18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Roberto González Navarro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virtual N° 1618, 31/05/21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1845-2021**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361C" w:rsidRPr="00663578" w:rsidRDefault="001E361C" w:rsidP="001E361C">
            <w:pPr>
              <w:rPr>
                <w:rFonts w:ascii="gobCL" w:hAnsi="gobCL"/>
                <w:sz w:val="18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</w:tr>
      <w:tr w:rsidR="001E361C" w:rsidRPr="00663578" w:rsidTr="001E361C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E361C" w:rsidRPr="00663578" w:rsidRDefault="001E361C" w:rsidP="001E361C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Néstor Silva Sanhueza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C.I. virtual N° 1851 y 1853, 01/06/21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1846-2021**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E361C" w:rsidRPr="00663578" w:rsidRDefault="001E361C" w:rsidP="001E361C">
            <w:pPr>
              <w:rPr>
                <w:rFonts w:ascii="gobCL" w:hAnsi="gobCL"/>
                <w:color w:val="000000"/>
                <w:sz w:val="18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361C" w:rsidRPr="00663578" w:rsidRDefault="001E361C" w:rsidP="001E361C">
            <w:pPr>
              <w:rPr>
                <w:rFonts w:ascii="gobCL" w:hAnsi="gobCL"/>
                <w:sz w:val="18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E361C" w:rsidRPr="00663578" w:rsidRDefault="001E361C" w:rsidP="001E361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</w:tr>
    </w:tbl>
    <w:p w:rsidR="00B522B5" w:rsidRPr="00663578" w:rsidRDefault="00D75BCC" w:rsidP="00B522B5">
      <w:pPr>
        <w:pStyle w:val="Textoindependiente"/>
        <w:jc w:val="center"/>
        <w:rPr>
          <w:rFonts w:ascii="gobCL" w:hAnsi="gobCL"/>
          <w:bCs/>
        </w:rPr>
      </w:pPr>
      <w:r w:rsidRPr="00663578">
        <w:rPr>
          <w:rFonts w:ascii="gobCL" w:hAnsi="gobCL"/>
          <w:bCs/>
        </w:rPr>
        <w:t xml:space="preserve">* </w:t>
      </w:r>
      <w:r w:rsidR="00E55751" w:rsidRPr="00663578">
        <w:rPr>
          <w:rFonts w:ascii="gobCL" w:hAnsi="gobCL"/>
          <w:bCs/>
        </w:rPr>
        <w:t>Carta de solicitud de renuncia ingresa año 2020.</w:t>
      </w:r>
    </w:p>
    <w:p w:rsidR="00055A51" w:rsidRDefault="00D75BCC" w:rsidP="00B522B5">
      <w:pPr>
        <w:pStyle w:val="Textoindependiente"/>
        <w:jc w:val="center"/>
        <w:rPr>
          <w:rFonts w:ascii="gobCL" w:hAnsi="gobCL"/>
          <w:bCs/>
        </w:rPr>
      </w:pPr>
      <w:r w:rsidRPr="00663578">
        <w:rPr>
          <w:rFonts w:ascii="gobCL" w:hAnsi="gobCL"/>
          <w:bCs/>
        </w:rPr>
        <w:t>** Carta de solicitud de renuncia ingresa año 2021</w:t>
      </w:r>
    </w:p>
    <w:p w:rsidR="006C5718" w:rsidRDefault="006C5718" w:rsidP="00B522B5">
      <w:pPr>
        <w:pStyle w:val="Textoindependiente"/>
        <w:jc w:val="center"/>
        <w:rPr>
          <w:rFonts w:ascii="gobCL" w:hAnsi="gobCL"/>
          <w:bCs/>
        </w:rPr>
      </w:pPr>
    </w:p>
    <w:p w:rsidR="00E55751" w:rsidRPr="006C5718" w:rsidRDefault="006C085C" w:rsidP="006C5718">
      <w:pPr>
        <w:pStyle w:val="Textoindependiente"/>
        <w:numPr>
          <w:ilvl w:val="0"/>
          <w:numId w:val="44"/>
        </w:numPr>
        <w:rPr>
          <w:rFonts w:ascii="gobCL" w:hAnsi="gobCL"/>
          <w:b/>
          <w:bCs/>
          <w:u w:val="single"/>
        </w:rPr>
      </w:pPr>
      <w:r w:rsidRPr="006C5718">
        <w:rPr>
          <w:rFonts w:ascii="gobCL" w:hAnsi="gobCL"/>
          <w:b/>
          <w:bCs/>
          <w:u w:val="single"/>
        </w:rPr>
        <w:t>Temporalidad de Re-licitaciones</w:t>
      </w:r>
    </w:p>
    <w:p w:rsidR="006C085C" w:rsidRDefault="006C085C" w:rsidP="006778D1">
      <w:pPr>
        <w:pStyle w:val="Textoindependiente"/>
        <w:rPr>
          <w:rFonts w:ascii="gobCL" w:hAnsi="gobCL"/>
          <w:bCs/>
        </w:rPr>
      </w:pPr>
    </w:p>
    <w:p w:rsidR="00D27383" w:rsidRPr="006C5718" w:rsidRDefault="00D27383" w:rsidP="006778D1">
      <w:pPr>
        <w:pStyle w:val="Textoindependiente"/>
        <w:rPr>
          <w:rFonts w:ascii="gobCL" w:hAnsi="gobCL"/>
          <w:b/>
          <w:bCs/>
          <w:u w:val="single"/>
        </w:rPr>
      </w:pPr>
      <w:r w:rsidRPr="006C5718">
        <w:rPr>
          <w:rFonts w:ascii="gobCL" w:hAnsi="gobCL"/>
          <w:b/>
          <w:bCs/>
          <w:u w:val="single"/>
        </w:rPr>
        <w:t>Diciembre 2021</w:t>
      </w:r>
    </w:p>
    <w:p w:rsidR="00D27383" w:rsidRDefault="00D27383" w:rsidP="006778D1">
      <w:pPr>
        <w:pStyle w:val="Textoindependiente"/>
        <w:rPr>
          <w:rFonts w:ascii="gobCL" w:hAnsi="gobCL"/>
          <w:bCs/>
        </w:rPr>
      </w:pPr>
    </w:p>
    <w:p w:rsidR="00D27383" w:rsidRPr="006C5718" w:rsidRDefault="00D27383" w:rsidP="006778D1">
      <w:pPr>
        <w:pStyle w:val="Textoindependiente"/>
        <w:rPr>
          <w:rFonts w:ascii="gobCL" w:hAnsi="gobCL"/>
          <w:bCs/>
          <w:u w:val="single"/>
        </w:rPr>
      </w:pPr>
      <w:r w:rsidRPr="006C5718">
        <w:rPr>
          <w:rFonts w:ascii="gobCL" w:hAnsi="gobCL"/>
          <w:bCs/>
          <w:u w:val="single"/>
        </w:rPr>
        <w:t>Desembarques de bacalao de profundidad</w:t>
      </w:r>
    </w:p>
    <w:p w:rsidR="00F32274" w:rsidRDefault="00F32274" w:rsidP="00D260C7">
      <w:pPr>
        <w:pStyle w:val="Textoindependiente"/>
        <w:rPr>
          <w:rFonts w:ascii="gobCL" w:hAnsi="gobCL"/>
          <w:bCs/>
        </w:rPr>
      </w:pPr>
    </w:p>
    <w:p w:rsidR="00D27383" w:rsidRDefault="006C085C" w:rsidP="00D260C7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No obstante lo anterior, s</w:t>
      </w:r>
      <w:r w:rsidR="009B6FCF" w:rsidRPr="00663578">
        <w:rPr>
          <w:rFonts w:ascii="gobCL" w:hAnsi="gobCL"/>
          <w:bCs/>
        </w:rPr>
        <w:t>e postergarán para la subasta del mes de diciembre</w:t>
      </w:r>
      <w:r w:rsidR="00D27383">
        <w:rPr>
          <w:rFonts w:ascii="gobCL" w:hAnsi="gobCL"/>
          <w:bCs/>
        </w:rPr>
        <w:t xml:space="preserve"> del 2021</w:t>
      </w:r>
      <w:r w:rsidR="009B6FCF" w:rsidRPr="00663578">
        <w:rPr>
          <w:rFonts w:ascii="gobCL" w:hAnsi="gobCL"/>
          <w:bCs/>
        </w:rPr>
        <w:t xml:space="preserve">, es decir, </w:t>
      </w:r>
      <w:r w:rsidR="00AE78AA" w:rsidRPr="00663578">
        <w:rPr>
          <w:rFonts w:ascii="gobCL" w:hAnsi="gobCL"/>
          <w:bCs/>
        </w:rPr>
        <w:t xml:space="preserve">se subastarán </w:t>
      </w:r>
      <w:r w:rsidR="00D27383">
        <w:rPr>
          <w:rFonts w:ascii="gobCL" w:hAnsi="gobCL"/>
          <w:bCs/>
        </w:rPr>
        <w:t>a cuenta de</w:t>
      </w:r>
      <w:r w:rsidR="00D27383" w:rsidRPr="00663578">
        <w:rPr>
          <w:rFonts w:ascii="gobCL" w:hAnsi="gobCL"/>
          <w:bCs/>
        </w:rPr>
        <w:t xml:space="preserve"> </w:t>
      </w:r>
      <w:r w:rsidR="00AE78AA" w:rsidRPr="00663578">
        <w:rPr>
          <w:rFonts w:ascii="gobCL" w:hAnsi="gobCL"/>
          <w:bCs/>
        </w:rPr>
        <w:t xml:space="preserve">la cuota 2022, </w:t>
      </w:r>
      <w:r w:rsidR="009B6FCF" w:rsidRPr="00663578">
        <w:rPr>
          <w:rFonts w:ascii="gobCL" w:hAnsi="gobCL"/>
          <w:bCs/>
        </w:rPr>
        <w:t>aquellos lotes renunciados</w:t>
      </w:r>
      <w:r w:rsidR="00D27383">
        <w:rPr>
          <w:rFonts w:ascii="gobCL" w:hAnsi="gobCL"/>
          <w:bCs/>
        </w:rPr>
        <w:t xml:space="preserve"> y/o caducados, cuyos titulares hayan</w:t>
      </w:r>
      <w:r w:rsidR="009B6FCF" w:rsidRPr="00663578">
        <w:rPr>
          <w:rFonts w:ascii="gobCL" w:hAnsi="gobCL"/>
          <w:bCs/>
        </w:rPr>
        <w:t xml:space="preserve"> </w:t>
      </w:r>
      <w:r w:rsidR="004400E1" w:rsidRPr="00663578">
        <w:rPr>
          <w:rFonts w:ascii="gobCL" w:hAnsi="gobCL"/>
          <w:bCs/>
        </w:rPr>
        <w:t>registra</w:t>
      </w:r>
      <w:r w:rsidR="00D27383">
        <w:rPr>
          <w:rFonts w:ascii="gobCL" w:hAnsi="gobCL"/>
          <w:bCs/>
        </w:rPr>
        <w:t>do</w:t>
      </w:r>
      <w:r w:rsidR="004400E1" w:rsidRPr="00663578">
        <w:rPr>
          <w:rFonts w:ascii="gobCL" w:hAnsi="gobCL"/>
          <w:bCs/>
        </w:rPr>
        <w:t xml:space="preserve"> desembarque </w:t>
      </w:r>
      <w:r w:rsidR="00D27383">
        <w:rPr>
          <w:rFonts w:ascii="gobCL" w:hAnsi="gobCL"/>
          <w:bCs/>
        </w:rPr>
        <w:t xml:space="preserve">de bacalao de profundidad </w:t>
      </w:r>
      <w:r w:rsidR="009B6FCF" w:rsidRPr="00663578">
        <w:rPr>
          <w:rFonts w:ascii="gobCL" w:hAnsi="gobCL"/>
          <w:bCs/>
        </w:rPr>
        <w:t>durante el año 2021.</w:t>
      </w:r>
    </w:p>
    <w:p w:rsidR="00D27383" w:rsidRDefault="00D27383" w:rsidP="00D260C7">
      <w:pPr>
        <w:pStyle w:val="Textoindependiente"/>
        <w:rPr>
          <w:rFonts w:ascii="gobCL" w:hAnsi="gobCL"/>
          <w:bCs/>
        </w:rPr>
      </w:pPr>
    </w:p>
    <w:p w:rsidR="00D260C7" w:rsidRPr="00663578" w:rsidRDefault="00D260C7" w:rsidP="00D260C7">
      <w:pPr>
        <w:pStyle w:val="Textoindependiente"/>
        <w:rPr>
          <w:rFonts w:ascii="gobCL" w:hAnsi="gobCL"/>
          <w:bCs/>
        </w:rPr>
      </w:pPr>
      <w:r w:rsidRPr="00663578">
        <w:rPr>
          <w:rFonts w:ascii="gobCL" w:hAnsi="gobCL"/>
          <w:bCs/>
        </w:rPr>
        <w:lastRenderedPageBreak/>
        <w:t>Según lo informado por SERNAPESCA en su página web de control cuota, hasta el 30 de junio de 2021 (</w:t>
      </w:r>
      <w:hyperlink r:id="rId10" w:history="1">
        <w:r w:rsidRPr="00663578">
          <w:rPr>
            <w:rStyle w:val="Hipervnculo"/>
            <w:rFonts w:ascii="gobCL" w:hAnsi="gobCL"/>
            <w:bCs/>
          </w:rPr>
          <w:t>http://www.sernapesca.cl/informacion-utilidad/consumo-de-cuotas</w:t>
        </w:r>
      </w:hyperlink>
      <w:r w:rsidRPr="00663578">
        <w:rPr>
          <w:rFonts w:ascii="gobCL" w:hAnsi="gobCL"/>
          <w:bCs/>
        </w:rPr>
        <w:t xml:space="preserve">), los siguientes tenedores PEP han desembarcado Bacalao de profundidad </w:t>
      </w:r>
      <w:r w:rsidR="007A0BD5" w:rsidRPr="00663578">
        <w:rPr>
          <w:rFonts w:ascii="gobCL" w:hAnsi="gobCL"/>
          <w:bCs/>
        </w:rPr>
        <w:t xml:space="preserve">durante </w:t>
      </w:r>
      <w:r w:rsidRPr="00663578">
        <w:rPr>
          <w:rFonts w:ascii="gobCL" w:hAnsi="gobCL"/>
          <w:bCs/>
        </w:rPr>
        <w:t xml:space="preserve">el año 2021: </w:t>
      </w:r>
    </w:p>
    <w:p w:rsidR="009B6FCF" w:rsidRPr="00663578" w:rsidRDefault="009B6FCF" w:rsidP="00D260C7">
      <w:pPr>
        <w:pStyle w:val="Textoindependiente"/>
        <w:rPr>
          <w:rFonts w:ascii="gobCL" w:hAnsi="gobCL"/>
          <w:bCs/>
        </w:rPr>
      </w:pPr>
    </w:p>
    <w:p w:rsidR="00D260C7" w:rsidRPr="00663578" w:rsidRDefault="00D260C7" w:rsidP="00D260C7">
      <w:pPr>
        <w:pStyle w:val="Textoindependiente"/>
        <w:numPr>
          <w:ilvl w:val="0"/>
          <w:numId w:val="43"/>
        </w:numPr>
        <w:rPr>
          <w:rFonts w:ascii="gobCL" w:hAnsi="gobCL"/>
          <w:bCs/>
        </w:rPr>
      </w:pPr>
      <w:r w:rsidRPr="00663578">
        <w:rPr>
          <w:rFonts w:ascii="gobCL" w:hAnsi="gobCL"/>
          <w:bCs/>
        </w:rPr>
        <w:t>Bolivar Guzman Acuña</w:t>
      </w:r>
    </w:p>
    <w:p w:rsidR="00D260C7" w:rsidRPr="00663578" w:rsidRDefault="00D260C7" w:rsidP="00D260C7">
      <w:pPr>
        <w:pStyle w:val="Textoindependiente"/>
        <w:numPr>
          <w:ilvl w:val="0"/>
          <w:numId w:val="43"/>
        </w:numPr>
        <w:rPr>
          <w:rFonts w:ascii="gobCL" w:hAnsi="gobCL"/>
          <w:bCs/>
        </w:rPr>
      </w:pPr>
      <w:r w:rsidRPr="00663578">
        <w:rPr>
          <w:rFonts w:ascii="gobCL" w:hAnsi="gobCL"/>
          <w:bCs/>
        </w:rPr>
        <w:t>Daniel Molina Cisternas</w:t>
      </w:r>
    </w:p>
    <w:p w:rsidR="00D260C7" w:rsidRPr="00663578" w:rsidRDefault="00D260C7" w:rsidP="00D260C7">
      <w:pPr>
        <w:pStyle w:val="Textoindependiente"/>
        <w:numPr>
          <w:ilvl w:val="0"/>
          <w:numId w:val="43"/>
        </w:numPr>
        <w:rPr>
          <w:rFonts w:ascii="gobCL" w:hAnsi="gobCL"/>
          <w:bCs/>
        </w:rPr>
      </w:pPr>
      <w:r w:rsidRPr="00663578">
        <w:rPr>
          <w:rFonts w:ascii="gobCL" w:hAnsi="gobCL"/>
          <w:bCs/>
        </w:rPr>
        <w:t>Paola Mora (Arriendo a José Mora Moya, quien registra desembarque)</w:t>
      </w:r>
    </w:p>
    <w:p w:rsidR="00D260C7" w:rsidRPr="00663578" w:rsidRDefault="00D260C7" w:rsidP="00D260C7">
      <w:pPr>
        <w:pStyle w:val="Textoindependiente"/>
        <w:numPr>
          <w:ilvl w:val="0"/>
          <w:numId w:val="43"/>
        </w:numPr>
        <w:rPr>
          <w:rFonts w:ascii="gobCL" w:hAnsi="gobCL"/>
          <w:bCs/>
        </w:rPr>
      </w:pPr>
      <w:r w:rsidRPr="00663578">
        <w:rPr>
          <w:rFonts w:ascii="gobCL" w:hAnsi="gobCL"/>
          <w:bCs/>
        </w:rPr>
        <w:t xml:space="preserve">Roberto </w:t>
      </w:r>
      <w:r w:rsidR="00D27383">
        <w:rPr>
          <w:rFonts w:ascii="gobCL" w:hAnsi="gobCL"/>
          <w:bCs/>
        </w:rPr>
        <w:t>González</w:t>
      </w:r>
      <w:r w:rsidR="00D27383" w:rsidRPr="00663578">
        <w:rPr>
          <w:rFonts w:ascii="gobCL" w:hAnsi="gobCL"/>
          <w:bCs/>
        </w:rPr>
        <w:t xml:space="preserve"> </w:t>
      </w:r>
      <w:r w:rsidRPr="00663578">
        <w:rPr>
          <w:rFonts w:ascii="gobCL" w:hAnsi="gobCL"/>
          <w:bCs/>
        </w:rPr>
        <w:t>Navarro</w:t>
      </w:r>
    </w:p>
    <w:p w:rsidR="00D260C7" w:rsidRDefault="00D260C7" w:rsidP="006778D1">
      <w:pPr>
        <w:pStyle w:val="Textoindependiente"/>
        <w:rPr>
          <w:rFonts w:ascii="gobCL" w:hAnsi="gobCL"/>
          <w:bCs/>
        </w:rPr>
      </w:pPr>
    </w:p>
    <w:p w:rsidR="00D27383" w:rsidRPr="006C5718" w:rsidRDefault="00D27383" w:rsidP="006778D1">
      <w:pPr>
        <w:pStyle w:val="Textoindependiente"/>
        <w:rPr>
          <w:rFonts w:ascii="gobCL" w:hAnsi="gobCL"/>
          <w:bCs/>
          <w:u w:val="single"/>
        </w:rPr>
      </w:pPr>
      <w:r w:rsidRPr="006C5718">
        <w:rPr>
          <w:rFonts w:ascii="gobCL" w:hAnsi="gobCL"/>
          <w:bCs/>
          <w:u w:val="single"/>
        </w:rPr>
        <w:t xml:space="preserve">Ingreso de solicitud de renuncia </w:t>
      </w:r>
    </w:p>
    <w:p w:rsidR="00D27383" w:rsidRDefault="00D27383" w:rsidP="006778D1">
      <w:pPr>
        <w:pStyle w:val="Textoindependiente"/>
        <w:rPr>
          <w:rFonts w:ascii="gobCL" w:hAnsi="gobCL"/>
          <w:bCs/>
        </w:rPr>
      </w:pPr>
    </w:p>
    <w:p w:rsidR="00D27383" w:rsidRDefault="0027053B" w:rsidP="006778D1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 xml:space="preserve">Cabe señalar que </w:t>
      </w:r>
      <w:r w:rsidRPr="00663578">
        <w:rPr>
          <w:rFonts w:ascii="gobCL" w:hAnsi="gobCL"/>
          <w:bCs/>
        </w:rPr>
        <w:t>l</w:t>
      </w:r>
      <w:r w:rsidR="00B15BF7" w:rsidRPr="00663578">
        <w:rPr>
          <w:rFonts w:ascii="gobCL" w:hAnsi="gobCL"/>
          <w:bCs/>
        </w:rPr>
        <w:t>os lotes cuyas cartas de solicitud de renuncia ingresaron durante el año 2020, y que por la situación COVID-19, que ha producido demoras administrativas en la tramitación de resoluciones SUBPESCA, se emitió la resolución que acepta la renuncia durante el año 2021, y para favorecer la eficiencia de la administración, es que se considera</w:t>
      </w:r>
      <w:r w:rsidR="00D27383">
        <w:rPr>
          <w:rFonts w:ascii="gobCL" w:hAnsi="gobCL"/>
          <w:bCs/>
        </w:rPr>
        <w:t>rá subastar</w:t>
      </w:r>
      <w:r w:rsidR="00B15BF7" w:rsidRPr="00663578">
        <w:rPr>
          <w:rFonts w:ascii="gobCL" w:hAnsi="gobCL"/>
          <w:bCs/>
        </w:rPr>
        <w:t xml:space="preserve"> estos lotes para ser efectivos durante el año 2021</w:t>
      </w:r>
      <w:r w:rsidRPr="00663578">
        <w:rPr>
          <w:rFonts w:ascii="gobCL" w:hAnsi="gobCL"/>
          <w:bCs/>
        </w:rPr>
        <w:t xml:space="preserve">, siempre y cuando </w:t>
      </w:r>
      <w:r w:rsidR="00D27383">
        <w:rPr>
          <w:rFonts w:ascii="gobCL" w:hAnsi="gobCL"/>
          <w:bCs/>
        </w:rPr>
        <w:t xml:space="preserve">sus titulares </w:t>
      </w:r>
      <w:r w:rsidRPr="00663578">
        <w:rPr>
          <w:rFonts w:ascii="gobCL" w:hAnsi="gobCL"/>
          <w:bCs/>
        </w:rPr>
        <w:t xml:space="preserve">no hayan </w:t>
      </w:r>
      <w:r w:rsidR="00D27383">
        <w:rPr>
          <w:rFonts w:ascii="gobCL" w:hAnsi="gobCL"/>
          <w:bCs/>
        </w:rPr>
        <w:t>registrado desembarques</w:t>
      </w:r>
      <w:r w:rsidRPr="00663578">
        <w:rPr>
          <w:rFonts w:ascii="gobCL" w:hAnsi="gobCL"/>
          <w:bCs/>
        </w:rPr>
        <w:t xml:space="preserve"> durante el año 2021</w:t>
      </w:r>
      <w:r w:rsidR="00B15BF7" w:rsidRPr="00663578">
        <w:rPr>
          <w:rFonts w:ascii="gobCL" w:hAnsi="gobCL"/>
          <w:bCs/>
        </w:rPr>
        <w:t xml:space="preserve">. </w:t>
      </w:r>
    </w:p>
    <w:p w:rsidR="00D27383" w:rsidRDefault="00D27383" w:rsidP="006778D1">
      <w:pPr>
        <w:pStyle w:val="Textoindependiente"/>
        <w:rPr>
          <w:rFonts w:ascii="gobCL" w:hAnsi="gobCL"/>
          <w:bCs/>
        </w:rPr>
      </w:pPr>
    </w:p>
    <w:p w:rsidR="006778D1" w:rsidRPr="00663578" w:rsidRDefault="00D27383" w:rsidP="006778D1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En este sentido, l</w:t>
      </w:r>
      <w:r w:rsidR="00B522B5" w:rsidRPr="00663578">
        <w:rPr>
          <w:rFonts w:ascii="gobCL" w:hAnsi="gobCL"/>
          <w:bCs/>
        </w:rPr>
        <w:t>os</w:t>
      </w:r>
      <w:r w:rsidR="006778D1" w:rsidRPr="00663578">
        <w:rPr>
          <w:rFonts w:ascii="gobCL" w:hAnsi="gobCL"/>
          <w:bCs/>
        </w:rPr>
        <w:t xml:space="preserve"> lote</w:t>
      </w:r>
      <w:r w:rsidR="00B522B5" w:rsidRPr="00663578">
        <w:rPr>
          <w:rFonts w:ascii="gobCL" w:hAnsi="gobCL"/>
          <w:bCs/>
        </w:rPr>
        <w:t>s:-</w:t>
      </w:r>
      <w:r w:rsidR="006778D1" w:rsidRPr="00663578">
        <w:rPr>
          <w:rFonts w:ascii="gobCL" w:hAnsi="gobCL"/>
          <w:bCs/>
        </w:rPr>
        <w:t xml:space="preserve"> 8 de Roberto González Navarro (sin efecto por Res. Ex. 1845-2021), 10 de Roberto González Navarro (sin efecto por Res. Ex. 1845-2021) y 5 de Néstor Silva Sanhueza</w:t>
      </w:r>
      <w:r w:rsidR="00B522B5" w:rsidRPr="00663578">
        <w:rPr>
          <w:rFonts w:ascii="gobCL" w:hAnsi="gobCL"/>
          <w:bCs/>
        </w:rPr>
        <w:t xml:space="preserve">  (dejado sin efecto por Res. Ex. N°1846/2021)</w:t>
      </w:r>
      <w:r w:rsidR="006778D1" w:rsidRPr="00663578">
        <w:rPr>
          <w:rFonts w:ascii="gobCL" w:hAnsi="gobCL"/>
          <w:bCs/>
        </w:rPr>
        <w:t>, corresponde s</w:t>
      </w:r>
      <w:r w:rsidR="00D75BCC" w:rsidRPr="00663578">
        <w:rPr>
          <w:rFonts w:ascii="gobCL" w:hAnsi="gobCL"/>
          <w:bCs/>
        </w:rPr>
        <w:t>ubastarlo en diciembre del año 2021</w:t>
      </w:r>
      <w:r w:rsidR="002E0776" w:rsidRPr="00663578">
        <w:rPr>
          <w:rFonts w:ascii="gobCL" w:hAnsi="gobCL"/>
          <w:bCs/>
        </w:rPr>
        <w:t>,</w:t>
      </w:r>
      <w:r w:rsidR="00B522B5" w:rsidRPr="00663578">
        <w:rPr>
          <w:rFonts w:ascii="gobCL" w:hAnsi="gobCL"/>
          <w:bCs/>
        </w:rPr>
        <w:t xml:space="preserve"> debido que solicitaron la renuncia durante </w:t>
      </w:r>
      <w:r w:rsidR="006C5718">
        <w:rPr>
          <w:rFonts w:ascii="gobCL" w:hAnsi="gobCL"/>
          <w:bCs/>
        </w:rPr>
        <w:t xml:space="preserve">el año </w:t>
      </w:r>
      <w:r>
        <w:rPr>
          <w:rFonts w:ascii="gobCL" w:hAnsi="gobCL"/>
          <w:bCs/>
        </w:rPr>
        <w:t>en curso</w:t>
      </w:r>
      <w:r w:rsidR="00B522B5" w:rsidRPr="00663578">
        <w:rPr>
          <w:rFonts w:ascii="gobCL" w:hAnsi="gobCL"/>
          <w:bCs/>
        </w:rPr>
        <w:t xml:space="preserve">. </w:t>
      </w:r>
    </w:p>
    <w:p w:rsidR="00F42ABE" w:rsidRPr="00663578" w:rsidRDefault="00F42ABE" w:rsidP="00EC1010">
      <w:pPr>
        <w:pStyle w:val="Textoindependiente"/>
        <w:rPr>
          <w:rFonts w:ascii="gobCL" w:hAnsi="gobCL"/>
          <w:bCs/>
        </w:rPr>
      </w:pPr>
    </w:p>
    <w:p w:rsidR="00D27383" w:rsidRPr="006C5718" w:rsidRDefault="00F1176B" w:rsidP="00D27383">
      <w:pPr>
        <w:pStyle w:val="Textoindependiente"/>
        <w:rPr>
          <w:rFonts w:ascii="gobCL" w:hAnsi="gobCL"/>
          <w:bCs/>
          <w:u w:val="single"/>
        </w:rPr>
      </w:pPr>
      <w:r>
        <w:rPr>
          <w:rFonts w:ascii="gobCL" w:hAnsi="gobCL"/>
          <w:bCs/>
          <w:u w:val="single"/>
        </w:rPr>
        <w:t>Agosto</w:t>
      </w:r>
      <w:r w:rsidR="00D27383" w:rsidRPr="006C5718">
        <w:rPr>
          <w:rFonts w:ascii="gobCL" w:hAnsi="gobCL"/>
          <w:bCs/>
          <w:u w:val="single"/>
        </w:rPr>
        <w:t xml:space="preserve"> 2021</w:t>
      </w:r>
    </w:p>
    <w:p w:rsidR="00D27383" w:rsidRDefault="00D27383" w:rsidP="00314902">
      <w:pPr>
        <w:pStyle w:val="Textoindependiente"/>
        <w:rPr>
          <w:rFonts w:ascii="gobCL" w:hAnsi="gobCL"/>
          <w:bCs/>
        </w:rPr>
      </w:pPr>
    </w:p>
    <w:p w:rsidR="004F4C88" w:rsidRDefault="00AE78AA" w:rsidP="00314902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En base a lo indicado anteriormente, lo</w:t>
      </w:r>
      <w:r w:rsidR="004F4C88">
        <w:rPr>
          <w:rFonts w:ascii="gobCL" w:hAnsi="gobCL"/>
          <w:bCs/>
        </w:rPr>
        <w:t>s lotes que</w:t>
      </w:r>
      <w:r w:rsidR="00D27383">
        <w:rPr>
          <w:rFonts w:ascii="gobCL" w:hAnsi="gobCL"/>
          <w:bCs/>
        </w:rPr>
        <w:t xml:space="preserve"> hayan sido sujeto de renuncia o caducidad durante el año 2020 y que sus titulares no hayan registrado desembarques del recurso,</w:t>
      </w:r>
      <w:r w:rsidR="004F4C88">
        <w:rPr>
          <w:rFonts w:ascii="gobCL" w:hAnsi="gobCL"/>
          <w:bCs/>
        </w:rPr>
        <w:t xml:space="preserve"> corresponde</w:t>
      </w:r>
      <w:r w:rsidR="00D27383">
        <w:rPr>
          <w:rFonts w:ascii="gobCL" w:hAnsi="gobCL"/>
          <w:bCs/>
        </w:rPr>
        <w:t>n sean</w:t>
      </w:r>
      <w:r w:rsidR="004F4C88">
        <w:rPr>
          <w:rFonts w:ascii="gobCL" w:hAnsi="gobCL"/>
          <w:bCs/>
        </w:rPr>
        <w:t xml:space="preserve"> re-licita</w:t>
      </w:r>
      <w:r w:rsidR="00D27383">
        <w:rPr>
          <w:rFonts w:ascii="gobCL" w:hAnsi="gobCL"/>
          <w:bCs/>
        </w:rPr>
        <w:t xml:space="preserve">dos durante el año 2021 (aproximadamente en el mes de </w:t>
      </w:r>
      <w:r w:rsidR="00F1176B">
        <w:rPr>
          <w:rFonts w:ascii="gobCL" w:hAnsi="gobCL"/>
          <w:bCs/>
        </w:rPr>
        <w:t>agosto</w:t>
      </w:r>
      <w:r w:rsidR="00D27383">
        <w:rPr>
          <w:rFonts w:ascii="gobCL" w:hAnsi="gobCL"/>
          <w:bCs/>
        </w:rPr>
        <w:t>). Se señalan a continuación en</w:t>
      </w:r>
      <w:r w:rsidR="006C5718">
        <w:rPr>
          <w:rFonts w:ascii="gobCL" w:hAnsi="gobCL"/>
          <w:bCs/>
        </w:rPr>
        <w:t xml:space="preserve"> </w:t>
      </w:r>
      <w:r w:rsidR="004F4C88">
        <w:rPr>
          <w:rFonts w:ascii="gobCL" w:hAnsi="gobCL"/>
          <w:bCs/>
        </w:rPr>
        <w:t xml:space="preserve">Tabla </w:t>
      </w:r>
      <w:r w:rsidR="00427C9F">
        <w:rPr>
          <w:rFonts w:ascii="gobCL" w:hAnsi="gobCL"/>
          <w:bCs/>
        </w:rPr>
        <w:t>4</w:t>
      </w:r>
      <w:r w:rsidR="004F4C88">
        <w:rPr>
          <w:rFonts w:ascii="gobCL" w:hAnsi="gobCL"/>
          <w:bCs/>
        </w:rPr>
        <w:t>.</w:t>
      </w:r>
    </w:p>
    <w:p w:rsidR="004F4C88" w:rsidRDefault="004F4C88" w:rsidP="00314902">
      <w:pPr>
        <w:pStyle w:val="Textoindependiente"/>
        <w:rPr>
          <w:rFonts w:ascii="gobCL" w:hAnsi="gobCL"/>
          <w:bCs/>
        </w:rPr>
      </w:pPr>
    </w:p>
    <w:p w:rsidR="004F4C88" w:rsidRDefault="004F4C88" w:rsidP="00B522B5">
      <w:pPr>
        <w:pStyle w:val="Textoindependiente"/>
        <w:jc w:val="center"/>
        <w:rPr>
          <w:rFonts w:ascii="gobCL" w:hAnsi="gobCL"/>
          <w:bCs/>
        </w:rPr>
      </w:pPr>
      <w:r>
        <w:rPr>
          <w:rFonts w:ascii="gobCL" w:hAnsi="gobCL"/>
          <w:bCs/>
        </w:rPr>
        <w:t xml:space="preserve">Tabla 4. Lotes </w:t>
      </w:r>
      <w:r w:rsidR="00427C9F">
        <w:rPr>
          <w:rFonts w:ascii="gobCL" w:hAnsi="gobCL"/>
          <w:bCs/>
        </w:rPr>
        <w:t xml:space="preserve">PEP Bacalao Artesanal </w:t>
      </w:r>
      <w:r w:rsidR="006725FC">
        <w:rPr>
          <w:rFonts w:ascii="gobCL" w:hAnsi="gobCL"/>
          <w:bCs/>
        </w:rPr>
        <w:t xml:space="preserve">disponibles </w:t>
      </w:r>
      <w:r w:rsidR="00427C9F">
        <w:rPr>
          <w:rFonts w:ascii="gobCL" w:hAnsi="gobCL"/>
          <w:bCs/>
        </w:rPr>
        <w:t>a re-licitar</w:t>
      </w:r>
      <w:r w:rsidR="00D27383">
        <w:rPr>
          <w:rFonts w:ascii="gobCL" w:hAnsi="gobCL"/>
          <w:bCs/>
        </w:rPr>
        <w:t xml:space="preserve"> a cuenta dela cuota del </w:t>
      </w:r>
      <w:r w:rsidR="00A9554B">
        <w:rPr>
          <w:rFonts w:ascii="gobCL" w:hAnsi="gobCL"/>
          <w:bCs/>
        </w:rPr>
        <w:t xml:space="preserve"> año 2021</w:t>
      </w:r>
    </w:p>
    <w:tbl>
      <w:tblPr>
        <w:tblW w:w="76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074"/>
        <w:gridCol w:w="1134"/>
        <w:gridCol w:w="1399"/>
        <w:gridCol w:w="1390"/>
        <w:gridCol w:w="1133"/>
      </w:tblGrid>
      <w:tr w:rsidR="001E361C" w:rsidRPr="00A9554B" w:rsidTr="001E361C">
        <w:trPr>
          <w:trHeight w:val="30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61C" w:rsidRPr="00A9554B" w:rsidRDefault="001E361C" w:rsidP="00427C9F">
            <w:pPr>
              <w:jc w:val="center"/>
              <w:rPr>
                <w:rFonts w:ascii="gobCL" w:hAnsi="gobCL"/>
                <w:b/>
                <w:bCs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sz w:val="18"/>
                <w:szCs w:val="20"/>
              </w:rPr>
              <w:t>Lote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61C" w:rsidRPr="00A9554B" w:rsidRDefault="001E361C" w:rsidP="00427C9F">
            <w:pPr>
              <w:jc w:val="center"/>
              <w:rPr>
                <w:rFonts w:ascii="gobCL" w:hAnsi="gobCL"/>
                <w:b/>
                <w:bCs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sz w:val="18"/>
                <w:szCs w:val="20"/>
              </w:rPr>
              <w:t>Titular PEP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61C" w:rsidRPr="00A9554B" w:rsidRDefault="001E361C" w:rsidP="00427C9F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Res. Ex. adjudicación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61C" w:rsidRPr="00A9554B" w:rsidRDefault="001E361C" w:rsidP="00427C9F">
            <w:pPr>
              <w:jc w:val="center"/>
              <w:rPr>
                <w:rFonts w:ascii="gobCL" w:hAnsi="gobCL"/>
                <w:b/>
                <w:bCs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sz w:val="18"/>
                <w:szCs w:val="20"/>
              </w:rPr>
              <w:t>Res. Ex. que deja sin efecto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61C" w:rsidRPr="00A9554B" w:rsidRDefault="001E361C" w:rsidP="00427C9F">
            <w:pPr>
              <w:jc w:val="center"/>
              <w:rPr>
                <w:rFonts w:ascii="gobCL" w:hAnsi="gobCL"/>
                <w:b/>
                <w:bCs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sz w:val="18"/>
                <w:szCs w:val="20"/>
              </w:rPr>
              <w:t>Efecto Res. Ex.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61C" w:rsidRPr="00A9554B" w:rsidRDefault="001E361C" w:rsidP="00427C9F">
            <w:pPr>
              <w:jc w:val="center"/>
              <w:rPr>
                <w:rFonts w:ascii="gobCL" w:hAnsi="gobCL"/>
                <w:b/>
                <w:bCs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sz w:val="18"/>
                <w:szCs w:val="20"/>
              </w:rPr>
              <w:t>Tamaño del lote (%) fijo</w:t>
            </w:r>
          </w:p>
        </w:tc>
      </w:tr>
      <w:tr w:rsidR="001E361C" w:rsidRPr="00A9554B" w:rsidTr="001E361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A9554B" w:rsidRDefault="001E361C" w:rsidP="00427C9F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A9554B" w:rsidRDefault="001E361C" w:rsidP="00427C9F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Luis Lemus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A9554B" w:rsidRDefault="001E361C" w:rsidP="00427C9F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351-2020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A9554B" w:rsidRDefault="001E361C" w:rsidP="00427C9F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2529-2020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A9554B" w:rsidRDefault="001E361C" w:rsidP="007A0BD5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Caduca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A9554B" w:rsidRDefault="001E361C" w:rsidP="00427C9F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2,50</w:t>
            </w:r>
          </w:p>
        </w:tc>
      </w:tr>
      <w:tr w:rsidR="001E361C" w:rsidRPr="00A9554B" w:rsidTr="001E361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A9554B" w:rsidRDefault="001E361C" w:rsidP="00427C9F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A9554B" w:rsidRDefault="001E361C" w:rsidP="00427C9F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Juan José Guzmán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A9554B" w:rsidRDefault="001E361C" w:rsidP="00427C9F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2941-2014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A9554B" w:rsidRDefault="001E361C" w:rsidP="00427C9F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09-2021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A9554B" w:rsidRDefault="001E361C" w:rsidP="007A0BD5">
            <w:pPr>
              <w:jc w:val="center"/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A9554B" w:rsidRDefault="001E361C" w:rsidP="00427C9F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1,00</w:t>
            </w:r>
          </w:p>
        </w:tc>
      </w:tr>
      <w:tr w:rsidR="001E361C" w:rsidRPr="00A9554B" w:rsidTr="001E361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A9554B" w:rsidRDefault="001E361C" w:rsidP="00427C9F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A9554B" w:rsidRDefault="001E361C" w:rsidP="00427C9F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Luis Lemus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A9554B" w:rsidRDefault="001E361C" w:rsidP="00427C9F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354-2020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A9554B" w:rsidRDefault="001E361C" w:rsidP="00427C9F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2529-2020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A9554B" w:rsidRDefault="001E361C" w:rsidP="007A0BD5">
            <w:pPr>
              <w:jc w:val="center"/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Caduca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A9554B" w:rsidRDefault="001E361C" w:rsidP="00427C9F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</w:tr>
      <w:tr w:rsidR="001E361C" w:rsidRPr="00A9554B" w:rsidTr="001E361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A9554B" w:rsidRDefault="001E361C" w:rsidP="00576F05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A9554B" w:rsidRDefault="001E361C" w:rsidP="00576F05">
            <w:pPr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David Cisterna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61C" w:rsidRPr="00A9554B" w:rsidRDefault="001E361C" w:rsidP="00576F05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3720-2014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A9554B" w:rsidRDefault="001E361C" w:rsidP="00576F05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53-2021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C" w:rsidRPr="00A9554B" w:rsidRDefault="001E361C" w:rsidP="00576F05">
            <w:pPr>
              <w:jc w:val="center"/>
              <w:rPr>
                <w:rFonts w:ascii="gobCL" w:hAnsi="gobCL"/>
                <w:sz w:val="18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Acepta renuncia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1C" w:rsidRPr="00A9554B" w:rsidRDefault="001E361C" w:rsidP="00576F05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</w:tr>
    </w:tbl>
    <w:p w:rsidR="004F4C88" w:rsidRDefault="004F4C88" w:rsidP="00314902">
      <w:pPr>
        <w:pStyle w:val="Textoindependiente"/>
        <w:rPr>
          <w:rFonts w:ascii="gobCL" w:hAnsi="gobCL"/>
          <w:bCs/>
        </w:rPr>
      </w:pPr>
    </w:p>
    <w:p w:rsidR="004F4C88" w:rsidRDefault="004F4C88" w:rsidP="00314902">
      <w:pPr>
        <w:pStyle w:val="Textoindependiente"/>
        <w:rPr>
          <w:rFonts w:ascii="gobCL" w:hAnsi="gobCL"/>
          <w:bCs/>
        </w:rPr>
      </w:pPr>
    </w:p>
    <w:p w:rsidR="00314902" w:rsidRDefault="00314902" w:rsidP="00314902">
      <w:pPr>
        <w:pStyle w:val="Textoindependiente"/>
        <w:rPr>
          <w:rFonts w:ascii="gobCL" w:hAnsi="gobCL"/>
          <w:bCs/>
        </w:rPr>
      </w:pPr>
      <w:r w:rsidRPr="00270C61">
        <w:rPr>
          <w:rFonts w:ascii="gobCL" w:hAnsi="gobCL"/>
          <w:bCs/>
        </w:rPr>
        <w:t xml:space="preserve">De acuerdo al </w:t>
      </w:r>
      <w:r w:rsidR="00071FFE">
        <w:rPr>
          <w:rFonts w:ascii="gobCL" w:hAnsi="gobCL"/>
          <w:bCs/>
        </w:rPr>
        <w:t>Reglamento de subasta de Permisos Extraordinarios de P</w:t>
      </w:r>
      <w:r w:rsidRPr="00270C61">
        <w:rPr>
          <w:rFonts w:ascii="gobCL" w:hAnsi="gobCL"/>
          <w:bCs/>
        </w:rPr>
        <w:t xml:space="preserve">esca (D.S. Nº 97 de </w:t>
      </w:r>
      <w:r>
        <w:rPr>
          <w:rFonts w:ascii="gobCL" w:hAnsi="gobCL"/>
          <w:bCs/>
        </w:rPr>
        <w:t>1996 y su modificación D.S</w:t>
      </w:r>
      <w:r w:rsidR="00F07C04">
        <w:rPr>
          <w:rFonts w:ascii="gobCL" w:hAnsi="gobCL"/>
          <w:bCs/>
        </w:rPr>
        <w:t>.</w:t>
      </w:r>
      <w:r>
        <w:rPr>
          <w:rFonts w:ascii="gobCL" w:hAnsi="gobCL"/>
          <w:bCs/>
        </w:rPr>
        <w:t xml:space="preserve"> Nº 117 del 2015</w:t>
      </w:r>
      <w:r w:rsidRPr="00270C61">
        <w:rPr>
          <w:rFonts w:ascii="gobCL" w:hAnsi="gobCL"/>
          <w:bCs/>
        </w:rPr>
        <w:t>) en las Bases Administrativas</w:t>
      </w:r>
      <w:r w:rsidR="00C87DFB">
        <w:rPr>
          <w:rFonts w:ascii="gobCL" w:hAnsi="gobCL"/>
          <w:bCs/>
        </w:rPr>
        <w:t xml:space="preserve"> de la subasta</w:t>
      </w:r>
      <w:r w:rsidR="00F80B0C">
        <w:rPr>
          <w:rFonts w:ascii="gobCL" w:hAnsi="gobCL"/>
          <w:bCs/>
        </w:rPr>
        <w:t>,</w:t>
      </w:r>
      <w:r w:rsidRPr="00270C61">
        <w:rPr>
          <w:rFonts w:ascii="gobCL" w:hAnsi="gobCL"/>
          <w:bCs/>
        </w:rPr>
        <w:t xml:space="preserve"> deben considerarse los siguientes </w:t>
      </w:r>
      <w:r w:rsidR="00F80B0C">
        <w:rPr>
          <w:rFonts w:ascii="gobCL" w:hAnsi="gobCL"/>
          <w:bCs/>
        </w:rPr>
        <w:t>elementos</w:t>
      </w:r>
      <w:r w:rsidRPr="00270C61">
        <w:rPr>
          <w:rFonts w:ascii="gobCL" w:hAnsi="gobCL"/>
          <w:bCs/>
        </w:rPr>
        <w:t>:</w:t>
      </w:r>
    </w:p>
    <w:p w:rsidR="003B2D81" w:rsidRDefault="003B2D81" w:rsidP="003B2D81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:rsidR="00F1176B" w:rsidRDefault="00F1176B" w:rsidP="003B2D81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:rsidR="003E2EB1" w:rsidRPr="00270C61" w:rsidRDefault="00B0090E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Monto a subastar</w:t>
      </w:r>
    </w:p>
    <w:p w:rsidR="00254A3B" w:rsidRDefault="00254A3B">
      <w:pPr>
        <w:pStyle w:val="Textoindependiente"/>
        <w:rPr>
          <w:rFonts w:ascii="gobCL" w:hAnsi="gobCL"/>
          <w:bCs/>
        </w:rPr>
      </w:pPr>
    </w:p>
    <w:p w:rsidR="00C66BDB" w:rsidRPr="007D5B74" w:rsidRDefault="004D708D" w:rsidP="00C66BDB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Decreto Exento N° 101 del 12 de noviembre del 2020</w:t>
      </w:r>
      <w:r w:rsidRPr="002D29D4">
        <w:rPr>
          <w:rFonts w:ascii="gobCL" w:hAnsi="gobCL"/>
          <w:bCs/>
        </w:rPr>
        <w:t>,</w:t>
      </w:r>
      <w:r>
        <w:rPr>
          <w:rFonts w:ascii="gobCL" w:hAnsi="gobCL"/>
          <w:bCs/>
        </w:rPr>
        <w:t xml:space="preserve"> señala que</w:t>
      </w:r>
      <w:r w:rsidRPr="002D29D4">
        <w:rPr>
          <w:rFonts w:ascii="gobCL" w:hAnsi="gobCL"/>
          <w:bCs/>
        </w:rPr>
        <w:t xml:space="preserve"> la cuota global anual asig</w:t>
      </w:r>
      <w:r>
        <w:rPr>
          <w:rFonts w:ascii="gobCL" w:hAnsi="gobCL"/>
          <w:bCs/>
        </w:rPr>
        <w:t>nada a bacalao de profundidad para el año 2021</w:t>
      </w:r>
      <w:r w:rsidRPr="002D29D4">
        <w:rPr>
          <w:rFonts w:ascii="gobCL" w:hAnsi="gobCL"/>
          <w:bCs/>
        </w:rPr>
        <w:t>, descontada la reserva para pesca de investigación</w:t>
      </w:r>
      <w:r>
        <w:rPr>
          <w:rFonts w:ascii="gobCL" w:hAnsi="gobCL"/>
          <w:bCs/>
        </w:rPr>
        <w:t xml:space="preserve"> y fauna acompañante</w:t>
      </w:r>
      <w:r w:rsidRPr="002D29D4">
        <w:rPr>
          <w:rFonts w:ascii="gobCL" w:hAnsi="gobCL"/>
          <w:bCs/>
        </w:rPr>
        <w:t xml:space="preserve">, corresponde </w:t>
      </w:r>
      <w:r w:rsidRPr="00C87DFB">
        <w:rPr>
          <w:rFonts w:ascii="gobCL" w:hAnsi="gobCL"/>
          <w:bCs/>
        </w:rPr>
        <w:t xml:space="preserve">a </w:t>
      </w:r>
      <w:r>
        <w:rPr>
          <w:rFonts w:ascii="gobCL" w:hAnsi="gobCL"/>
          <w:bCs/>
        </w:rPr>
        <w:t>1.951</w:t>
      </w:r>
      <w:r w:rsidRPr="002D29D4">
        <w:rPr>
          <w:rFonts w:ascii="gobCL" w:hAnsi="gobCL"/>
          <w:bCs/>
        </w:rPr>
        <w:t xml:space="preserve"> toneladas</w:t>
      </w:r>
      <w:r w:rsidR="00C66BDB" w:rsidRPr="002D29D4">
        <w:rPr>
          <w:rFonts w:ascii="gobCL" w:hAnsi="gobCL"/>
          <w:bCs/>
        </w:rPr>
        <w:t>,</w:t>
      </w:r>
      <w:r w:rsidR="00C66BDB" w:rsidRPr="007D5B74">
        <w:rPr>
          <w:rFonts w:ascii="gobCL" w:hAnsi="gobCL"/>
          <w:bCs/>
        </w:rPr>
        <w:t xml:space="preserve"> de las cuales corresponde subastar </w:t>
      </w:r>
      <w:r w:rsidR="00C66BDB" w:rsidRPr="00663578">
        <w:rPr>
          <w:rFonts w:ascii="gobCL" w:hAnsi="gobCL"/>
          <w:bCs/>
        </w:rPr>
        <w:t xml:space="preserve">un </w:t>
      </w:r>
      <w:r w:rsidR="0027053B" w:rsidRPr="00663578">
        <w:rPr>
          <w:rFonts w:ascii="gobCL" w:hAnsi="gobCL"/>
          <w:bCs/>
        </w:rPr>
        <w:t>4</w:t>
      </w:r>
      <w:r w:rsidR="009157C2" w:rsidRPr="00663578">
        <w:rPr>
          <w:rFonts w:ascii="gobCL" w:hAnsi="gobCL"/>
          <w:bCs/>
        </w:rPr>
        <w:t>,5</w:t>
      </w:r>
      <w:r w:rsidR="00C66BDB" w:rsidRPr="00663578">
        <w:rPr>
          <w:rFonts w:ascii="gobCL" w:hAnsi="gobCL"/>
          <w:bCs/>
        </w:rPr>
        <w:t>%</w:t>
      </w:r>
      <w:r w:rsidR="00A9554B" w:rsidRPr="00663578">
        <w:rPr>
          <w:rFonts w:ascii="gobCL" w:hAnsi="gobCL"/>
          <w:bCs/>
        </w:rPr>
        <w:t>.</w:t>
      </w:r>
    </w:p>
    <w:p w:rsidR="00FD09EB" w:rsidRDefault="00FD09EB">
      <w:pPr>
        <w:pStyle w:val="Textoindependiente"/>
        <w:rPr>
          <w:rFonts w:ascii="gobCL" w:hAnsi="gobCL"/>
          <w:bCs/>
        </w:rPr>
      </w:pPr>
    </w:p>
    <w:p w:rsidR="003E2EB1" w:rsidRPr="00270C61" w:rsidRDefault="003E2EB1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 xml:space="preserve">Número de </w:t>
      </w:r>
      <w:r w:rsidR="00CB2D84" w:rsidRPr="00270C61">
        <w:rPr>
          <w:rFonts w:ascii="gobCL" w:hAnsi="gobCL"/>
          <w:b/>
          <w:bCs/>
          <w:sz w:val="24"/>
          <w:u w:val="single"/>
        </w:rPr>
        <w:t>cortes</w:t>
      </w:r>
      <w:r w:rsidR="00B0090E">
        <w:rPr>
          <w:rFonts w:ascii="gobCL" w:hAnsi="gobCL"/>
          <w:b/>
          <w:bCs/>
          <w:sz w:val="24"/>
          <w:u w:val="single"/>
        </w:rPr>
        <w:t xml:space="preserve"> a subastar</w:t>
      </w:r>
    </w:p>
    <w:p w:rsidR="00C66BDB" w:rsidRDefault="00C66BDB">
      <w:pPr>
        <w:pStyle w:val="Textoindependiente"/>
        <w:rPr>
          <w:rFonts w:ascii="gobCL" w:hAnsi="gobCL"/>
          <w:bCs/>
        </w:rPr>
      </w:pPr>
    </w:p>
    <w:p w:rsidR="00287163" w:rsidRDefault="00287163" w:rsidP="00C66BDB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El lote 1, de 2,5% caducado a Luis Lemus por la resolución 2529/2020, se debe dividir en dos lotes de 1,5% y 1%, dado que 2,5% representa más del 50% del total a licitar en esta subasta de reasignación.</w:t>
      </w:r>
    </w:p>
    <w:p w:rsidR="00287163" w:rsidRDefault="00287163" w:rsidP="00C66BDB">
      <w:pPr>
        <w:pStyle w:val="Textoindependiente"/>
        <w:rPr>
          <w:rFonts w:ascii="gobCL" w:hAnsi="gobCL"/>
          <w:bCs/>
        </w:rPr>
      </w:pPr>
    </w:p>
    <w:p w:rsidR="00C66BDB" w:rsidRDefault="00287163" w:rsidP="00C66BDB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 xml:space="preserve">El sector </w:t>
      </w:r>
      <w:r w:rsidRPr="00F86387">
        <w:rPr>
          <w:rFonts w:ascii="gobCL" w:hAnsi="gobCL"/>
          <w:bCs/>
        </w:rPr>
        <w:t xml:space="preserve">artesanal </w:t>
      </w:r>
      <w:r w:rsidRPr="00F960BE">
        <w:rPr>
          <w:rFonts w:ascii="gobCL" w:hAnsi="gobCL"/>
          <w:bCs/>
        </w:rPr>
        <w:t>tiene exclusividad de</w:t>
      </w:r>
      <w:r w:rsidRPr="007D5B74">
        <w:rPr>
          <w:rFonts w:ascii="gobCL" w:hAnsi="gobCL"/>
          <w:bCs/>
        </w:rPr>
        <w:t xml:space="preserve"> </w:t>
      </w:r>
      <w:r>
        <w:rPr>
          <w:rFonts w:ascii="gobCL" w:hAnsi="gobCL"/>
          <w:bCs/>
        </w:rPr>
        <w:t xml:space="preserve">participación en la subasta. </w:t>
      </w:r>
      <w:r w:rsidR="008B69EF">
        <w:rPr>
          <w:rFonts w:ascii="gobCL" w:hAnsi="gobCL"/>
          <w:bCs/>
        </w:rPr>
        <w:t>L</w:t>
      </w:r>
      <w:r w:rsidR="00C66BDB" w:rsidRPr="007D5B74">
        <w:rPr>
          <w:rFonts w:ascii="gobCL" w:hAnsi="gobCL"/>
          <w:bCs/>
        </w:rPr>
        <w:t xml:space="preserve">os lotes </w:t>
      </w:r>
      <w:r w:rsidR="001F0714">
        <w:rPr>
          <w:rFonts w:ascii="gobCL" w:hAnsi="gobCL"/>
          <w:bCs/>
        </w:rPr>
        <w:t>disponibles para</w:t>
      </w:r>
      <w:r w:rsidR="00C66BDB" w:rsidRPr="007D5B74">
        <w:rPr>
          <w:rFonts w:ascii="gobCL" w:hAnsi="gobCL"/>
          <w:bCs/>
        </w:rPr>
        <w:t xml:space="preserve"> subastar</w:t>
      </w:r>
      <w:r w:rsidR="005A0BF9">
        <w:rPr>
          <w:rFonts w:ascii="gobCL" w:hAnsi="gobCL"/>
          <w:bCs/>
        </w:rPr>
        <w:t xml:space="preserve"> se</w:t>
      </w:r>
      <w:r w:rsidR="00BD7AA3">
        <w:rPr>
          <w:rFonts w:ascii="gobCL" w:hAnsi="gobCL"/>
          <w:bCs/>
        </w:rPr>
        <w:t xml:space="preserve"> muestran en la </w:t>
      </w:r>
      <w:r w:rsidR="00A9554B">
        <w:rPr>
          <w:rFonts w:ascii="gobCL" w:hAnsi="gobCL"/>
          <w:bCs/>
        </w:rPr>
        <w:t>T</w:t>
      </w:r>
      <w:r w:rsidR="00BD7AA3">
        <w:rPr>
          <w:rFonts w:ascii="gobCL" w:hAnsi="gobCL"/>
          <w:bCs/>
        </w:rPr>
        <w:t>abla 5</w:t>
      </w:r>
      <w:r w:rsidR="001F0714">
        <w:rPr>
          <w:rFonts w:ascii="gobCL" w:hAnsi="gobCL"/>
          <w:bCs/>
        </w:rPr>
        <w:t xml:space="preserve">, </w:t>
      </w:r>
      <w:r w:rsidR="00362630">
        <w:rPr>
          <w:rFonts w:ascii="gobCL" w:hAnsi="gobCL"/>
          <w:bCs/>
        </w:rPr>
        <w:t>junto con el periodo de vigencia, el tamaño del lote y las toneladas que representa cada uno, de acuerdo a la cuota del año 2021.</w:t>
      </w:r>
      <w:r w:rsidR="00362630" w:rsidDel="001F0714">
        <w:rPr>
          <w:rFonts w:ascii="gobCL" w:hAnsi="gobCL"/>
          <w:bCs/>
        </w:rPr>
        <w:t xml:space="preserve"> </w:t>
      </w:r>
    </w:p>
    <w:p w:rsidR="00616E70" w:rsidRDefault="00616E70">
      <w:pPr>
        <w:jc w:val="center"/>
        <w:rPr>
          <w:rFonts w:ascii="gobCL" w:hAnsi="gobCL"/>
          <w:b/>
          <w:sz w:val="20"/>
        </w:rPr>
      </w:pPr>
    </w:p>
    <w:p w:rsidR="009D3947" w:rsidRPr="00DB78B7" w:rsidRDefault="00723F16">
      <w:pPr>
        <w:jc w:val="center"/>
        <w:rPr>
          <w:rFonts w:ascii="gobCL" w:hAnsi="gobCL"/>
          <w:sz w:val="20"/>
        </w:rPr>
      </w:pPr>
      <w:r w:rsidRPr="00DB78B7">
        <w:rPr>
          <w:rFonts w:ascii="gobCL" w:hAnsi="gobCL"/>
          <w:sz w:val="20"/>
        </w:rPr>
        <w:t xml:space="preserve">Tabla </w:t>
      </w:r>
      <w:r w:rsidR="00BD7AA3">
        <w:rPr>
          <w:rFonts w:ascii="gobCL" w:hAnsi="gobCL"/>
          <w:sz w:val="20"/>
        </w:rPr>
        <w:t>5</w:t>
      </w:r>
      <w:r w:rsidR="000774D1">
        <w:rPr>
          <w:rFonts w:ascii="gobCL" w:hAnsi="gobCL"/>
          <w:sz w:val="20"/>
        </w:rPr>
        <w:t>.</w:t>
      </w:r>
      <w:r w:rsidR="003E2EB1" w:rsidRPr="00DB78B7">
        <w:rPr>
          <w:rFonts w:ascii="gobCL" w:hAnsi="gobCL"/>
          <w:sz w:val="20"/>
        </w:rPr>
        <w:t xml:space="preserve"> Lotes </w:t>
      </w:r>
      <w:r w:rsidR="00741EE5">
        <w:rPr>
          <w:rFonts w:ascii="gobCL" w:hAnsi="gobCL"/>
          <w:sz w:val="20"/>
        </w:rPr>
        <w:t xml:space="preserve">disponibles </w:t>
      </w:r>
      <w:r w:rsidR="003E2EB1" w:rsidRPr="00DB78B7">
        <w:rPr>
          <w:rFonts w:ascii="gobCL" w:hAnsi="gobCL"/>
          <w:sz w:val="20"/>
        </w:rPr>
        <w:t xml:space="preserve">a </w:t>
      </w:r>
      <w:r w:rsidR="00C87DFB" w:rsidRPr="00DB78B7">
        <w:rPr>
          <w:rFonts w:ascii="gobCL" w:hAnsi="gobCL"/>
          <w:sz w:val="20"/>
        </w:rPr>
        <w:t>licitar,</w:t>
      </w:r>
      <w:r w:rsidR="00B0090E" w:rsidRPr="00DB78B7">
        <w:rPr>
          <w:rFonts w:ascii="gobCL" w:hAnsi="gobCL"/>
          <w:sz w:val="20"/>
        </w:rPr>
        <w:t xml:space="preserve"> fracción artesanal</w:t>
      </w:r>
    </w:p>
    <w:tbl>
      <w:tblPr>
        <w:tblW w:w="85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702"/>
        <w:gridCol w:w="1692"/>
        <w:gridCol w:w="1843"/>
        <w:gridCol w:w="1266"/>
        <w:gridCol w:w="2188"/>
      </w:tblGrid>
      <w:tr w:rsidR="00FE654C" w:rsidRPr="00A9554B" w:rsidTr="00BD7AA3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54C" w:rsidRPr="00A9554B" w:rsidRDefault="00FE654C" w:rsidP="00FE654C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Lote anterior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54C" w:rsidRPr="00A9554B" w:rsidRDefault="00BD7AA3" w:rsidP="00FE654C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 xml:space="preserve">Nuevo </w:t>
            </w:r>
            <w:r w:rsidR="00FE654C"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Lote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54C" w:rsidRPr="00A9554B" w:rsidRDefault="00FE654C" w:rsidP="00FE654C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Tamaño del lote (%) Fijo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54C" w:rsidRPr="00A9554B" w:rsidRDefault="00FE654C" w:rsidP="00FE654C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Periodo de vigencia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54C" w:rsidRPr="00A9554B" w:rsidRDefault="00FE654C" w:rsidP="00FE654C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Años de vigencia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54C" w:rsidRPr="00A9554B" w:rsidRDefault="00FE654C" w:rsidP="00FE654C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Tamaño del lote en toneladas 2021</w:t>
            </w:r>
          </w:p>
        </w:tc>
      </w:tr>
      <w:tr w:rsidR="00FE654C" w:rsidRPr="00A9554B" w:rsidTr="00BD7AA3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54C" w:rsidRPr="00663578" w:rsidRDefault="00FE654C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54C" w:rsidRPr="00663578" w:rsidRDefault="00FE654C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</w:t>
            </w:r>
            <w:r w:rsidR="00287163">
              <w:rPr>
                <w:rFonts w:ascii="gobCL" w:hAnsi="gobCL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54C" w:rsidRPr="00663578" w:rsidRDefault="00F1176B" w:rsidP="00FE654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1</w:t>
            </w:r>
            <w:r w:rsidR="00FE654C" w:rsidRPr="00663578">
              <w:rPr>
                <w:rFonts w:ascii="gobCL" w:hAnsi="gobCL"/>
                <w:color w:val="000000"/>
                <w:sz w:val="18"/>
                <w:szCs w:val="22"/>
              </w:rPr>
              <w:t>,50%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54C" w:rsidRPr="00663578" w:rsidRDefault="00FE654C" w:rsidP="00FE654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2021 - 2025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54C" w:rsidRPr="00663578" w:rsidRDefault="00FE654C" w:rsidP="00FE654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54C" w:rsidRPr="00663578" w:rsidRDefault="003571A6" w:rsidP="00FE654C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29,265</w:t>
            </w:r>
          </w:p>
        </w:tc>
      </w:tr>
      <w:tr w:rsidR="00F1176B" w:rsidRPr="00A9554B" w:rsidTr="00BD7AA3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6201EE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1,00%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2021 - 2025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19,51</w:t>
            </w:r>
            <w:r w:rsidR="003571A6">
              <w:rPr>
                <w:rFonts w:ascii="gobCL" w:hAnsi="gobCL"/>
                <w:color w:val="000000"/>
                <w:sz w:val="18"/>
                <w:szCs w:val="22"/>
              </w:rPr>
              <w:t>0</w:t>
            </w:r>
          </w:p>
        </w:tc>
      </w:tr>
      <w:tr w:rsidR="00F1176B" w:rsidRPr="00A9554B" w:rsidTr="00BD7AA3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6201EE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1,00%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2021 - 2022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19,51</w:t>
            </w:r>
            <w:r w:rsidR="003571A6">
              <w:rPr>
                <w:rFonts w:ascii="gobCL" w:hAnsi="gobCL"/>
                <w:color w:val="000000"/>
                <w:sz w:val="18"/>
                <w:szCs w:val="22"/>
              </w:rPr>
              <w:t>0</w:t>
            </w:r>
          </w:p>
        </w:tc>
      </w:tr>
      <w:tr w:rsidR="00F1176B" w:rsidRPr="00A9554B" w:rsidTr="00BD7AA3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6201EE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0,50%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2021 - 2026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9,755</w:t>
            </w:r>
          </w:p>
        </w:tc>
      </w:tr>
      <w:tr w:rsidR="00F1176B" w:rsidRPr="00A9554B" w:rsidTr="00BD7AA3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6201EE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0,50%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2021 - 2024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76B" w:rsidRPr="00663578" w:rsidRDefault="00F1176B" w:rsidP="00F1176B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9,755</w:t>
            </w:r>
          </w:p>
        </w:tc>
      </w:tr>
    </w:tbl>
    <w:p w:rsidR="001163D8" w:rsidRDefault="001163D8">
      <w:pPr>
        <w:jc w:val="center"/>
        <w:rPr>
          <w:rFonts w:ascii="gobCL" w:hAnsi="gobCL"/>
          <w:b/>
          <w:sz w:val="20"/>
        </w:rPr>
      </w:pPr>
    </w:p>
    <w:p w:rsidR="001163D8" w:rsidRDefault="001163D8">
      <w:pPr>
        <w:jc w:val="center"/>
        <w:rPr>
          <w:rFonts w:ascii="gobCL" w:hAnsi="gobCL"/>
          <w:b/>
          <w:sz w:val="20"/>
        </w:rPr>
      </w:pPr>
    </w:p>
    <w:p w:rsidR="003E2EB1" w:rsidRPr="00270C61" w:rsidRDefault="00B0090E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Orden de la subasta</w:t>
      </w:r>
    </w:p>
    <w:p w:rsidR="00936463" w:rsidRDefault="00936463">
      <w:pPr>
        <w:pStyle w:val="Textoindependiente"/>
        <w:rPr>
          <w:rFonts w:ascii="gobCL" w:hAnsi="gobCL"/>
          <w:bCs/>
        </w:rPr>
      </w:pPr>
    </w:p>
    <w:p w:rsidR="003E2EB1" w:rsidRPr="00453151" w:rsidRDefault="003E2EB1">
      <w:pPr>
        <w:pStyle w:val="Textoindependiente"/>
        <w:rPr>
          <w:rFonts w:ascii="gobCL" w:hAnsi="gobCL"/>
        </w:rPr>
      </w:pPr>
      <w:r w:rsidRPr="00270C61">
        <w:rPr>
          <w:rFonts w:ascii="gobCL" w:hAnsi="gobCL"/>
          <w:bCs/>
        </w:rPr>
        <w:t xml:space="preserve">El orden de los lotes </w:t>
      </w:r>
      <w:r w:rsidR="00936463">
        <w:rPr>
          <w:rFonts w:ascii="gobCL" w:hAnsi="gobCL"/>
          <w:bCs/>
        </w:rPr>
        <w:t>a subastar</w:t>
      </w:r>
      <w:r w:rsidR="00BA3813" w:rsidRPr="00270C61">
        <w:rPr>
          <w:rFonts w:ascii="gobCL" w:hAnsi="gobCL"/>
          <w:bCs/>
        </w:rPr>
        <w:t xml:space="preserve"> </w:t>
      </w:r>
      <w:r w:rsidR="00CB5B7D">
        <w:rPr>
          <w:rFonts w:ascii="gobCL" w:hAnsi="gobCL"/>
          <w:bCs/>
        </w:rPr>
        <w:t xml:space="preserve">es el </w:t>
      </w:r>
      <w:r w:rsidRPr="00270C61">
        <w:rPr>
          <w:rFonts w:ascii="gobCL" w:hAnsi="gobCL"/>
          <w:bCs/>
        </w:rPr>
        <w:t>señalado en</w:t>
      </w:r>
      <w:r w:rsidR="000774D1">
        <w:rPr>
          <w:rFonts w:ascii="gobCL" w:hAnsi="gobCL"/>
          <w:bCs/>
        </w:rPr>
        <w:t xml:space="preserve"> la</w:t>
      </w:r>
      <w:r w:rsidRPr="00270C61">
        <w:rPr>
          <w:rFonts w:ascii="gobCL" w:hAnsi="gobCL"/>
          <w:bCs/>
        </w:rPr>
        <w:t xml:space="preserve"> </w:t>
      </w:r>
      <w:r w:rsidR="00723F16">
        <w:rPr>
          <w:rFonts w:ascii="gobCL" w:hAnsi="gobCL"/>
          <w:b/>
        </w:rPr>
        <w:t xml:space="preserve">Tabla </w:t>
      </w:r>
      <w:r w:rsidR="00741EE5">
        <w:rPr>
          <w:rFonts w:ascii="gobCL" w:hAnsi="gobCL"/>
          <w:b/>
        </w:rPr>
        <w:t>5</w:t>
      </w:r>
      <w:r w:rsidR="00453151">
        <w:rPr>
          <w:rFonts w:ascii="gobCL" w:hAnsi="gobCL"/>
        </w:rPr>
        <w:t>.</w:t>
      </w:r>
    </w:p>
    <w:p w:rsidR="000774D1" w:rsidRPr="00270C61" w:rsidRDefault="000774D1">
      <w:pPr>
        <w:pStyle w:val="Textoindependiente"/>
        <w:rPr>
          <w:rFonts w:ascii="gobCL" w:hAnsi="gobCL"/>
        </w:rPr>
      </w:pPr>
    </w:p>
    <w:p w:rsidR="003E2EB1" w:rsidRDefault="00B0090E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Tipo de subasta</w:t>
      </w:r>
    </w:p>
    <w:p w:rsidR="00824330" w:rsidRPr="00270C61" w:rsidRDefault="00824330" w:rsidP="00824330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:rsidR="003E2EB1" w:rsidRDefault="003E2EB1">
      <w:pPr>
        <w:pStyle w:val="Textoindependiente"/>
        <w:rPr>
          <w:rFonts w:ascii="gobCL" w:hAnsi="gobCL"/>
          <w:bCs/>
        </w:rPr>
      </w:pPr>
      <w:r w:rsidRPr="00270C61">
        <w:rPr>
          <w:rFonts w:ascii="gobCL" w:hAnsi="gobCL"/>
          <w:bCs/>
        </w:rPr>
        <w:t xml:space="preserve">La subasta se realizará </w:t>
      </w:r>
      <w:r w:rsidRPr="00270C61">
        <w:rPr>
          <w:rFonts w:ascii="gobCL" w:hAnsi="gobCL"/>
          <w:b/>
        </w:rPr>
        <w:t xml:space="preserve">A </w:t>
      </w:r>
      <w:r w:rsidR="00C63948">
        <w:rPr>
          <w:rFonts w:ascii="gobCL" w:hAnsi="gobCL"/>
          <w:b/>
        </w:rPr>
        <w:t>SOBRE CERRADO</w:t>
      </w:r>
      <w:r w:rsidRPr="00270C61">
        <w:rPr>
          <w:rFonts w:ascii="gobCL" w:hAnsi="gobCL"/>
          <w:b/>
        </w:rPr>
        <w:t xml:space="preserve"> </w:t>
      </w:r>
      <w:r w:rsidR="001B2865">
        <w:rPr>
          <w:rFonts w:ascii="gobCL" w:hAnsi="gobCL"/>
          <w:bCs/>
        </w:rPr>
        <w:t xml:space="preserve">para todos los cortes, es </w:t>
      </w:r>
      <w:r w:rsidR="00780648">
        <w:rPr>
          <w:rFonts w:ascii="gobCL" w:hAnsi="gobCL"/>
          <w:bCs/>
        </w:rPr>
        <w:t>decir, los interesados realizará</w:t>
      </w:r>
      <w:r w:rsidR="001B2865">
        <w:rPr>
          <w:rFonts w:ascii="gobCL" w:hAnsi="gobCL"/>
          <w:bCs/>
        </w:rPr>
        <w:t>n sus ofertas a la Subsecretar</w:t>
      </w:r>
      <w:r w:rsidR="000774D1">
        <w:rPr>
          <w:rFonts w:ascii="gobCL" w:hAnsi="gobCL"/>
          <w:bCs/>
        </w:rPr>
        <w:t>í</w:t>
      </w:r>
      <w:r w:rsidR="001B2865">
        <w:rPr>
          <w:rFonts w:ascii="gobCL" w:hAnsi="gobCL"/>
          <w:bCs/>
        </w:rPr>
        <w:t>a, en sobre cerrado de acuerdo a los requisitos y condiciones establecidas en las bases.</w:t>
      </w:r>
      <w:r w:rsidR="00470DA8">
        <w:rPr>
          <w:rFonts w:ascii="gobCL" w:hAnsi="gobCL"/>
          <w:bCs/>
        </w:rPr>
        <w:t xml:space="preserve"> Los </w:t>
      </w:r>
      <w:r w:rsidR="009305BC">
        <w:rPr>
          <w:rFonts w:ascii="gobCL" w:hAnsi="gobCL"/>
          <w:bCs/>
        </w:rPr>
        <w:t>participantes</w:t>
      </w:r>
      <w:r w:rsidR="00470DA8">
        <w:rPr>
          <w:rFonts w:ascii="gobCL" w:hAnsi="gobCL"/>
          <w:bCs/>
        </w:rPr>
        <w:t xml:space="preserve"> deberán presentar 3 sobres, </w:t>
      </w:r>
      <w:r w:rsidR="002C2C06">
        <w:rPr>
          <w:rFonts w:ascii="gobCL" w:hAnsi="gobCL"/>
          <w:bCs/>
        </w:rPr>
        <w:t xml:space="preserve">denominados de la siguiente manera: </w:t>
      </w:r>
    </w:p>
    <w:p w:rsidR="002027A7" w:rsidRDefault="002027A7">
      <w:pPr>
        <w:pStyle w:val="Textoindependiente"/>
        <w:rPr>
          <w:rFonts w:ascii="gobCL" w:hAnsi="gobCL"/>
          <w:bCs/>
        </w:rPr>
      </w:pPr>
    </w:p>
    <w:p w:rsidR="00CB0316" w:rsidRDefault="00CB0316" w:rsidP="00CB0316">
      <w:pPr>
        <w:pStyle w:val="Textoindependiente"/>
        <w:numPr>
          <w:ilvl w:val="0"/>
          <w:numId w:val="41"/>
        </w:numPr>
        <w:rPr>
          <w:rFonts w:ascii="gobCL" w:hAnsi="gobCL"/>
          <w:bCs/>
        </w:rPr>
      </w:pPr>
      <w:r>
        <w:rPr>
          <w:rFonts w:ascii="gobCL" w:hAnsi="gobCL"/>
          <w:bCs/>
        </w:rPr>
        <w:t xml:space="preserve">“Sobre N° 1 Antecedentes administrativos”, en donde además de contener todos los antecedentes señalados en el </w:t>
      </w:r>
      <w:r w:rsidRPr="008D3FAF">
        <w:rPr>
          <w:rFonts w:ascii="gobCL" w:hAnsi="gobCL"/>
          <w:bCs/>
        </w:rPr>
        <w:t>D.S. Nº 97 de 1996</w:t>
      </w:r>
      <w:r>
        <w:rPr>
          <w:rFonts w:ascii="gobCL" w:hAnsi="gobCL"/>
          <w:bCs/>
        </w:rPr>
        <w:t>;</w:t>
      </w:r>
      <w:r w:rsidRPr="008D3FAF">
        <w:rPr>
          <w:rFonts w:ascii="gobCL" w:hAnsi="gobCL"/>
          <w:bCs/>
        </w:rPr>
        <w:t xml:space="preserve"> </w:t>
      </w:r>
      <w:r>
        <w:rPr>
          <w:rFonts w:ascii="gobCL" w:hAnsi="gobCL"/>
          <w:bCs/>
        </w:rPr>
        <w:t>modificado a través del</w:t>
      </w:r>
      <w:r w:rsidRPr="008D3FAF">
        <w:rPr>
          <w:rFonts w:ascii="gobCL" w:hAnsi="gobCL"/>
          <w:bCs/>
        </w:rPr>
        <w:t xml:space="preserve"> D.S Nº 1</w:t>
      </w:r>
      <w:r>
        <w:rPr>
          <w:rFonts w:ascii="gobCL" w:hAnsi="gobCL"/>
          <w:bCs/>
        </w:rPr>
        <w:t>17 del 2015, en su artículo 4°, deberán acompañarse el o los documentos de garantía de seriedad de la oferta.</w:t>
      </w:r>
    </w:p>
    <w:p w:rsidR="00CB0316" w:rsidRDefault="00CB0316" w:rsidP="00CB0316">
      <w:pPr>
        <w:pStyle w:val="Textoindependiente"/>
        <w:ind w:left="720"/>
        <w:rPr>
          <w:rFonts w:ascii="gobCL" w:hAnsi="gobCL"/>
          <w:bCs/>
        </w:rPr>
      </w:pPr>
    </w:p>
    <w:p w:rsidR="00CB0316" w:rsidRDefault="00CB0316" w:rsidP="00CB0316">
      <w:pPr>
        <w:pStyle w:val="Textoindependiente"/>
        <w:numPr>
          <w:ilvl w:val="0"/>
          <w:numId w:val="39"/>
        </w:numPr>
        <w:rPr>
          <w:rFonts w:ascii="gobCL" w:hAnsi="gobCL"/>
          <w:bCs/>
        </w:rPr>
      </w:pPr>
      <w:r w:rsidRPr="00C87DFB">
        <w:rPr>
          <w:rFonts w:ascii="gobCL" w:hAnsi="gobCL"/>
          <w:bCs/>
        </w:rPr>
        <w:t>“Sobre N° 2 Propuesta Económica”, dicho sobre deberá c</w:t>
      </w:r>
      <w:r>
        <w:rPr>
          <w:rFonts w:ascii="gobCL" w:hAnsi="gobCL"/>
          <w:bCs/>
        </w:rPr>
        <w:t xml:space="preserve">ontener en </w:t>
      </w:r>
      <w:r w:rsidR="00806EF9">
        <w:rPr>
          <w:rFonts w:ascii="gobCL" w:hAnsi="gobCL"/>
          <w:bCs/>
        </w:rPr>
        <w:t>su interior una serie de documentos</w:t>
      </w:r>
      <w:r>
        <w:rPr>
          <w:rFonts w:ascii="gobCL" w:hAnsi="gobCL"/>
          <w:bCs/>
        </w:rPr>
        <w:t xml:space="preserve">, cada uno de ellos debe identificar el lote por el cual se está ofertando y el monto por el </w:t>
      </w:r>
      <w:r>
        <w:rPr>
          <w:rFonts w:ascii="gobCL" w:hAnsi="gobCL"/>
          <w:bCs/>
        </w:rPr>
        <w:lastRenderedPageBreak/>
        <w:t>cual se oferta, todo lo anterior,</w:t>
      </w:r>
      <w:r w:rsidRPr="00C87DFB">
        <w:rPr>
          <w:rFonts w:ascii="gobCL" w:hAnsi="gobCL"/>
          <w:bCs/>
        </w:rPr>
        <w:t xml:space="preserve"> expresado en Unidades Tributarias Mensuales a la fecha de</w:t>
      </w:r>
      <w:r>
        <w:rPr>
          <w:rFonts w:ascii="gobCL" w:hAnsi="gobCL"/>
          <w:bCs/>
        </w:rPr>
        <w:t xml:space="preserve"> la</w:t>
      </w:r>
      <w:r w:rsidRPr="00C87DFB">
        <w:rPr>
          <w:rFonts w:ascii="gobCL" w:hAnsi="gobCL"/>
          <w:bCs/>
        </w:rPr>
        <w:t xml:space="preserve"> presentaci</w:t>
      </w:r>
      <w:r>
        <w:rPr>
          <w:rFonts w:ascii="gobCL" w:hAnsi="gobCL"/>
          <w:bCs/>
        </w:rPr>
        <w:t xml:space="preserve">ón.  Las ofertas económicas por </w:t>
      </w:r>
      <w:r w:rsidRPr="00C87DFB">
        <w:rPr>
          <w:rFonts w:ascii="gobCL" w:hAnsi="gobCL"/>
          <w:bCs/>
        </w:rPr>
        <w:t>lote, deberá</w:t>
      </w:r>
      <w:r>
        <w:rPr>
          <w:rFonts w:ascii="gobCL" w:hAnsi="gobCL"/>
          <w:bCs/>
        </w:rPr>
        <w:t>n</w:t>
      </w:r>
      <w:r w:rsidRPr="00C87DFB">
        <w:rPr>
          <w:rFonts w:ascii="gobCL" w:hAnsi="gobCL"/>
          <w:bCs/>
        </w:rPr>
        <w:t xml:space="preserve"> ser mayor o igual que el precio mínimo</w:t>
      </w:r>
      <w:r>
        <w:rPr>
          <w:rFonts w:ascii="gobCL" w:hAnsi="gobCL"/>
          <w:bCs/>
        </w:rPr>
        <w:t xml:space="preserve"> estimado del recurso.</w:t>
      </w:r>
    </w:p>
    <w:p w:rsidR="00916A14" w:rsidRDefault="00916A14" w:rsidP="00CB0316">
      <w:pPr>
        <w:pStyle w:val="Prrafodelista"/>
        <w:jc w:val="both"/>
        <w:rPr>
          <w:rFonts w:ascii="gobCL" w:hAnsi="gobCL"/>
          <w:bCs/>
          <w:sz w:val="20"/>
        </w:rPr>
      </w:pPr>
    </w:p>
    <w:p w:rsidR="00CB0316" w:rsidRPr="00BE14A1" w:rsidRDefault="00CB0316" w:rsidP="00CB0316">
      <w:pPr>
        <w:pStyle w:val="Prrafodelista"/>
        <w:jc w:val="both"/>
        <w:rPr>
          <w:rFonts w:ascii="gobCL" w:hAnsi="gobCL"/>
          <w:bCs/>
          <w:sz w:val="20"/>
        </w:rPr>
      </w:pPr>
      <w:r>
        <w:rPr>
          <w:rFonts w:ascii="gobCL" w:hAnsi="gobCL"/>
          <w:bCs/>
          <w:sz w:val="20"/>
        </w:rPr>
        <w:t>Se debe considerar que cada lote corresponde a un</w:t>
      </w:r>
      <w:r w:rsidRPr="00BE14A1">
        <w:rPr>
          <w:rFonts w:ascii="gobCL" w:hAnsi="gobCL"/>
          <w:bCs/>
          <w:sz w:val="20"/>
        </w:rPr>
        <w:t xml:space="preserve"> porcentaje de la cuot</w:t>
      </w:r>
      <w:r>
        <w:rPr>
          <w:rFonts w:ascii="gobCL" w:hAnsi="gobCL"/>
          <w:bCs/>
          <w:sz w:val="20"/>
        </w:rPr>
        <w:t>a anual y que</w:t>
      </w:r>
      <w:r w:rsidR="000774D1">
        <w:rPr>
          <w:rFonts w:ascii="gobCL" w:hAnsi="gobCL"/>
          <w:bCs/>
          <w:sz w:val="20"/>
        </w:rPr>
        <w:t>,</w:t>
      </w:r>
      <w:r>
        <w:rPr>
          <w:rFonts w:ascii="gobCL" w:hAnsi="gobCL"/>
          <w:bCs/>
          <w:sz w:val="20"/>
        </w:rPr>
        <w:t xml:space="preserve"> al momento de realizar la oferta económica, ésta deberá considerar </w:t>
      </w:r>
      <w:r w:rsidR="00D91AE2">
        <w:rPr>
          <w:rFonts w:ascii="gobCL" w:hAnsi="gobCL"/>
          <w:bCs/>
          <w:sz w:val="20"/>
        </w:rPr>
        <w:t xml:space="preserve">el periodo de </w:t>
      </w:r>
      <w:r w:rsidRPr="00BE14A1">
        <w:rPr>
          <w:rFonts w:ascii="gobCL" w:hAnsi="gobCL"/>
          <w:bCs/>
          <w:sz w:val="20"/>
        </w:rPr>
        <w:t xml:space="preserve">años que dura el permiso. </w:t>
      </w:r>
      <w:r>
        <w:rPr>
          <w:rFonts w:ascii="gobCL" w:hAnsi="gobCL"/>
          <w:bCs/>
          <w:sz w:val="20"/>
        </w:rPr>
        <w:t>Esto implica que</w:t>
      </w:r>
      <w:r w:rsidRPr="00BE14A1">
        <w:rPr>
          <w:rFonts w:ascii="gobCL" w:hAnsi="gobCL"/>
          <w:bCs/>
          <w:sz w:val="20"/>
        </w:rPr>
        <w:t xml:space="preserve">, en el caso que </w:t>
      </w:r>
      <w:r>
        <w:rPr>
          <w:rFonts w:ascii="gobCL" w:hAnsi="gobCL"/>
          <w:bCs/>
          <w:sz w:val="20"/>
        </w:rPr>
        <w:t xml:space="preserve">alguien </w:t>
      </w:r>
      <w:r w:rsidRPr="00BE14A1">
        <w:rPr>
          <w:rFonts w:ascii="gobCL" w:hAnsi="gobCL"/>
          <w:bCs/>
          <w:sz w:val="20"/>
        </w:rPr>
        <w:t xml:space="preserve">se adjudique </w:t>
      </w:r>
      <w:r>
        <w:rPr>
          <w:rFonts w:ascii="gobCL" w:hAnsi="gobCL"/>
          <w:bCs/>
          <w:sz w:val="20"/>
        </w:rPr>
        <w:t>un determinado</w:t>
      </w:r>
      <w:r w:rsidRPr="00BE14A1">
        <w:rPr>
          <w:rFonts w:ascii="gobCL" w:hAnsi="gobCL"/>
          <w:bCs/>
          <w:sz w:val="20"/>
        </w:rPr>
        <w:t xml:space="preserve"> lote</w:t>
      </w:r>
      <w:r>
        <w:rPr>
          <w:rFonts w:ascii="gobCL" w:hAnsi="gobCL"/>
          <w:bCs/>
          <w:sz w:val="20"/>
        </w:rPr>
        <w:t>,</w:t>
      </w:r>
      <w:r w:rsidRPr="00BE14A1">
        <w:rPr>
          <w:rFonts w:ascii="gobCL" w:hAnsi="gobCL"/>
          <w:bCs/>
          <w:sz w:val="20"/>
        </w:rPr>
        <w:t xml:space="preserve"> el titular deberá cancelar anualmente e</w:t>
      </w:r>
      <w:r>
        <w:rPr>
          <w:rFonts w:ascii="gobCL" w:hAnsi="gobCL"/>
          <w:bCs/>
          <w:sz w:val="20"/>
        </w:rPr>
        <w:t xml:space="preserve">l valor ofertado dividido </w:t>
      </w:r>
      <w:r w:rsidR="00A9554B">
        <w:rPr>
          <w:rFonts w:ascii="gobCL" w:hAnsi="gobCL"/>
          <w:bCs/>
          <w:sz w:val="20"/>
        </w:rPr>
        <w:t xml:space="preserve">los </w:t>
      </w:r>
      <w:r w:rsidR="00D91AE2">
        <w:rPr>
          <w:rFonts w:ascii="gobCL" w:hAnsi="gobCL"/>
          <w:bCs/>
          <w:sz w:val="20"/>
        </w:rPr>
        <w:t>años según corresponda</w:t>
      </w:r>
      <w:r w:rsidRPr="00BE14A1">
        <w:rPr>
          <w:rFonts w:ascii="gobCL" w:hAnsi="gobCL"/>
          <w:bCs/>
          <w:sz w:val="20"/>
        </w:rPr>
        <w:t>.</w:t>
      </w:r>
    </w:p>
    <w:p w:rsidR="00CB0316" w:rsidRDefault="00CB0316" w:rsidP="00CB0316">
      <w:pPr>
        <w:pStyle w:val="Prrafodelista"/>
        <w:rPr>
          <w:rFonts w:ascii="gobCL" w:hAnsi="gobCL"/>
          <w:bCs/>
        </w:rPr>
      </w:pPr>
    </w:p>
    <w:p w:rsidR="00E8435E" w:rsidRPr="007512CC" w:rsidRDefault="00CB0316" w:rsidP="007512CC">
      <w:pPr>
        <w:pStyle w:val="Textoindependiente"/>
        <w:numPr>
          <w:ilvl w:val="0"/>
          <w:numId w:val="41"/>
        </w:numPr>
        <w:rPr>
          <w:rFonts w:ascii="gobCL" w:hAnsi="gobCL"/>
        </w:rPr>
      </w:pPr>
      <w:r w:rsidRPr="007512CC">
        <w:rPr>
          <w:rFonts w:ascii="gobCL" w:hAnsi="gobCL"/>
          <w:bCs/>
        </w:rPr>
        <w:t>”Sobre N° 3 Desempate”, el cual tiene por objeto dirimir posibles desempates entre dos o más oferentes. Este sobre deberá contener tantos sobres de desempate como lotes se desee</w:t>
      </w:r>
      <w:r w:rsidR="007F2758">
        <w:rPr>
          <w:rFonts w:ascii="gobCL" w:hAnsi="gobCL"/>
          <w:bCs/>
        </w:rPr>
        <w:t>.</w:t>
      </w:r>
      <w:r w:rsidRPr="007512CC">
        <w:rPr>
          <w:rFonts w:ascii="gobCL" w:hAnsi="gobCL"/>
          <w:bCs/>
        </w:rPr>
        <w:t xml:space="preserve"> </w:t>
      </w:r>
    </w:p>
    <w:p w:rsidR="007512CC" w:rsidRDefault="007512CC" w:rsidP="00055A51">
      <w:pPr>
        <w:pStyle w:val="Textoindependiente"/>
        <w:ind w:left="720"/>
        <w:rPr>
          <w:rFonts w:ascii="gobCL" w:hAnsi="gobCL"/>
        </w:rPr>
      </w:pPr>
    </w:p>
    <w:p w:rsidR="00FA0581" w:rsidRDefault="00FA0581" w:rsidP="00055A51">
      <w:pPr>
        <w:pStyle w:val="Textoindependiente"/>
        <w:ind w:left="720"/>
        <w:rPr>
          <w:rFonts w:ascii="gobCL" w:hAnsi="gobCL"/>
        </w:rPr>
      </w:pPr>
    </w:p>
    <w:p w:rsidR="003E2EB1" w:rsidRPr="00270C61" w:rsidRDefault="003E2EB1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 xml:space="preserve">Monto de </w:t>
      </w:r>
      <w:r w:rsidR="00B0090E">
        <w:rPr>
          <w:rFonts w:ascii="gobCL" w:hAnsi="gobCL"/>
          <w:b/>
          <w:bCs/>
          <w:sz w:val="24"/>
          <w:u w:val="single"/>
        </w:rPr>
        <w:t>g</w:t>
      </w:r>
      <w:r w:rsidRPr="00270C61">
        <w:rPr>
          <w:rFonts w:ascii="gobCL" w:hAnsi="gobCL"/>
          <w:b/>
          <w:bCs/>
          <w:sz w:val="24"/>
          <w:u w:val="single"/>
        </w:rPr>
        <w:t>a</w:t>
      </w:r>
      <w:r w:rsidR="00B0090E">
        <w:rPr>
          <w:rFonts w:ascii="gobCL" w:hAnsi="gobCL"/>
          <w:b/>
          <w:bCs/>
          <w:sz w:val="24"/>
          <w:u w:val="single"/>
        </w:rPr>
        <w:t>rantía de seriedad de la oferta</w:t>
      </w:r>
    </w:p>
    <w:p w:rsidR="00EC0F3C" w:rsidRPr="00270C61" w:rsidRDefault="00EC0F3C" w:rsidP="00EC0F3C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:rsidR="003E2EB1" w:rsidRPr="00270C61" w:rsidRDefault="003E2EB1">
      <w:pPr>
        <w:pStyle w:val="Textoindependiente"/>
        <w:rPr>
          <w:rFonts w:ascii="gobCL" w:hAnsi="gobCL"/>
          <w:bCs/>
        </w:rPr>
      </w:pPr>
      <w:r w:rsidRPr="00270C61">
        <w:rPr>
          <w:rFonts w:ascii="gobCL" w:hAnsi="gobCL"/>
          <w:bCs/>
        </w:rPr>
        <w:t>Para determinar el monto de garantía de seriedad se ha determinado un coeficiente fijo de 0</w:t>
      </w:r>
      <w:r w:rsidR="001A1A86">
        <w:rPr>
          <w:rFonts w:ascii="gobCL" w:hAnsi="gobCL"/>
          <w:bCs/>
        </w:rPr>
        <w:t>,</w:t>
      </w:r>
      <w:r w:rsidRPr="00270C61">
        <w:rPr>
          <w:rFonts w:ascii="gobCL" w:hAnsi="gobCL"/>
          <w:bCs/>
        </w:rPr>
        <w:t xml:space="preserve">01. </w:t>
      </w:r>
    </w:p>
    <w:p w:rsidR="003E2EB1" w:rsidRPr="00270C61" w:rsidRDefault="003E2EB1">
      <w:pPr>
        <w:pStyle w:val="Textoindependiente"/>
        <w:rPr>
          <w:rFonts w:ascii="gobCL" w:hAnsi="gobCL"/>
          <w:bCs/>
        </w:rPr>
      </w:pPr>
    </w:p>
    <w:p w:rsidR="003E2EB1" w:rsidRPr="00055A51" w:rsidRDefault="003E2EB1">
      <w:pPr>
        <w:pStyle w:val="Textoindependiente"/>
        <w:rPr>
          <w:rFonts w:ascii="gobCL" w:hAnsi="gobCL"/>
          <w:bCs/>
        </w:rPr>
      </w:pPr>
      <w:r w:rsidRPr="00055A51">
        <w:rPr>
          <w:rFonts w:ascii="gobCL" w:hAnsi="gobCL"/>
          <w:bCs/>
        </w:rPr>
        <w:t>El monto de la garantía de seriedad que deberán presentar para participar en la subasta de acuerdo al lote de interés corresponderá al resultado de aplicar la siguiente formula:</w:t>
      </w:r>
    </w:p>
    <w:p w:rsidR="003E2EB1" w:rsidRPr="00055A51" w:rsidRDefault="003E2EB1">
      <w:pPr>
        <w:pStyle w:val="Textoindependiente"/>
        <w:rPr>
          <w:rFonts w:ascii="gobCL" w:hAnsi="gobCL"/>
          <w:bCs/>
        </w:rPr>
      </w:pPr>
    </w:p>
    <w:p w:rsidR="003E2EB1" w:rsidRPr="00055A51" w:rsidRDefault="003E2EB1">
      <w:pPr>
        <w:pStyle w:val="Textoindependiente"/>
        <w:jc w:val="center"/>
        <w:rPr>
          <w:rFonts w:ascii="gobCL" w:hAnsi="gobCL"/>
          <w:b/>
        </w:rPr>
      </w:pPr>
      <w:r w:rsidRPr="00055A51">
        <w:rPr>
          <w:rFonts w:ascii="gobCL" w:hAnsi="gobCL"/>
          <w:b/>
        </w:rPr>
        <w:t xml:space="preserve">% de </w:t>
      </w:r>
      <w:r w:rsidR="00936463" w:rsidRPr="00055A51">
        <w:rPr>
          <w:rFonts w:ascii="gobCL" w:hAnsi="gobCL"/>
          <w:b/>
        </w:rPr>
        <w:t>C</w:t>
      </w:r>
      <w:r w:rsidRPr="00055A51">
        <w:rPr>
          <w:rFonts w:ascii="gobCL" w:hAnsi="gobCL"/>
          <w:b/>
        </w:rPr>
        <w:t>orte a subastar x Cuota Anual x Valor de San</w:t>
      </w:r>
      <w:r w:rsidR="00B0090E" w:rsidRPr="00055A51">
        <w:rPr>
          <w:rFonts w:ascii="gobCL" w:hAnsi="gobCL"/>
          <w:b/>
        </w:rPr>
        <w:t>ción Vigente</w:t>
      </w:r>
      <w:r w:rsidR="00E56D1B" w:rsidRPr="00055A51">
        <w:rPr>
          <w:rStyle w:val="Refdenotaalpie"/>
          <w:rFonts w:ascii="gobCL" w:hAnsi="gobCL"/>
          <w:b/>
        </w:rPr>
        <w:footnoteReference w:id="1"/>
      </w:r>
      <w:r w:rsidR="00B0090E" w:rsidRPr="00055A51">
        <w:rPr>
          <w:rFonts w:ascii="gobCL" w:hAnsi="gobCL"/>
          <w:b/>
        </w:rPr>
        <w:t xml:space="preserve"> x Coeficiente Fijo</w:t>
      </w:r>
    </w:p>
    <w:p w:rsidR="003E2EB1" w:rsidRPr="00055A51" w:rsidRDefault="003E2EB1">
      <w:pPr>
        <w:pStyle w:val="Textoindependiente"/>
        <w:rPr>
          <w:rFonts w:ascii="gobCL" w:hAnsi="gobCL"/>
          <w:bCs/>
        </w:rPr>
      </w:pPr>
    </w:p>
    <w:p w:rsidR="003E2EB1" w:rsidRPr="00055A51" w:rsidRDefault="003E2EB1" w:rsidP="00464CF3">
      <w:pPr>
        <w:pStyle w:val="Textoindependiente"/>
        <w:tabs>
          <w:tab w:val="left" w:pos="1418"/>
        </w:tabs>
        <w:rPr>
          <w:rFonts w:ascii="gobCL" w:hAnsi="gobCL"/>
          <w:bCs/>
        </w:rPr>
      </w:pPr>
      <w:r w:rsidRPr="00055A51">
        <w:rPr>
          <w:rFonts w:ascii="gobCL" w:hAnsi="gobCL"/>
          <w:bCs/>
        </w:rPr>
        <w:t xml:space="preserve">Para este año el monto de garantía por el </w:t>
      </w:r>
      <w:r w:rsidR="00E1468A" w:rsidRPr="00055A51">
        <w:rPr>
          <w:rFonts w:ascii="gobCL" w:hAnsi="gobCL"/>
          <w:bCs/>
        </w:rPr>
        <w:t>0</w:t>
      </w:r>
      <w:r w:rsidR="005E401F" w:rsidRPr="00055A51">
        <w:rPr>
          <w:rFonts w:ascii="gobCL" w:hAnsi="gobCL"/>
          <w:bCs/>
        </w:rPr>
        <w:t>,5</w:t>
      </w:r>
      <w:r w:rsidRPr="00055A51">
        <w:rPr>
          <w:rFonts w:ascii="gobCL" w:hAnsi="gobCL"/>
          <w:bCs/>
        </w:rPr>
        <w:t xml:space="preserve">% será de: </w:t>
      </w:r>
      <w:r w:rsidR="004074E2">
        <w:rPr>
          <w:rFonts w:ascii="gobCL" w:hAnsi="gobCL"/>
          <w:bCs/>
        </w:rPr>
        <w:t>0,00</w:t>
      </w:r>
      <w:r w:rsidR="005E401F" w:rsidRPr="00055A51">
        <w:rPr>
          <w:rFonts w:ascii="gobCL" w:hAnsi="gobCL"/>
          <w:bCs/>
        </w:rPr>
        <w:t>5</w:t>
      </w:r>
      <w:r w:rsidRPr="00055A51">
        <w:rPr>
          <w:rFonts w:ascii="gobCL" w:hAnsi="gobCL"/>
          <w:bCs/>
        </w:rPr>
        <w:t xml:space="preserve"> x </w:t>
      </w:r>
      <w:r w:rsidR="007D06D5">
        <w:rPr>
          <w:rFonts w:ascii="gobCL" w:hAnsi="gobCL"/>
          <w:bCs/>
        </w:rPr>
        <w:t>1.951</w:t>
      </w:r>
      <w:r w:rsidR="00E56D1B" w:rsidRPr="00055A51">
        <w:rPr>
          <w:rFonts w:ascii="gobCL" w:hAnsi="gobCL"/>
          <w:bCs/>
        </w:rPr>
        <w:t xml:space="preserve"> </w:t>
      </w:r>
      <w:r w:rsidR="0071194C" w:rsidRPr="00055A51">
        <w:rPr>
          <w:rFonts w:ascii="gobCL" w:hAnsi="gobCL"/>
          <w:bCs/>
        </w:rPr>
        <w:t xml:space="preserve">x </w:t>
      </w:r>
      <w:r w:rsidR="00527356">
        <w:rPr>
          <w:rFonts w:ascii="gobCL" w:hAnsi="gobCL"/>
          <w:bCs/>
        </w:rPr>
        <w:t>233</w:t>
      </w:r>
      <w:r w:rsidR="0071194C" w:rsidRPr="00055A51">
        <w:rPr>
          <w:rFonts w:ascii="gobCL" w:hAnsi="gobCL"/>
          <w:bCs/>
        </w:rPr>
        <w:t xml:space="preserve"> x 0,01 </w:t>
      </w:r>
      <w:r w:rsidR="008A18CC" w:rsidRPr="00055A51">
        <w:rPr>
          <w:rFonts w:ascii="gobCL" w:hAnsi="gobCL"/>
          <w:bCs/>
        </w:rPr>
        <w:t xml:space="preserve">= </w:t>
      </w:r>
      <w:r w:rsidR="00FE654C">
        <w:rPr>
          <w:rFonts w:ascii="gobCL" w:hAnsi="gobCL"/>
          <w:bCs/>
        </w:rPr>
        <w:t>22,73</w:t>
      </w:r>
      <w:r w:rsidR="007D06D5" w:rsidRPr="007D06D5">
        <w:rPr>
          <w:rFonts w:ascii="gobCL" w:hAnsi="gobCL"/>
          <w:bCs/>
        </w:rPr>
        <w:t xml:space="preserve"> </w:t>
      </w:r>
      <w:r w:rsidR="00780648" w:rsidRPr="00055A51">
        <w:rPr>
          <w:rFonts w:ascii="gobCL" w:hAnsi="gobCL"/>
          <w:bCs/>
        </w:rPr>
        <w:t>UTM</w:t>
      </w:r>
    </w:p>
    <w:p w:rsidR="005D6D9F" w:rsidRPr="00055A51" w:rsidRDefault="005D6D9F">
      <w:pPr>
        <w:pStyle w:val="Textoindependiente"/>
        <w:rPr>
          <w:rFonts w:ascii="gobCL" w:hAnsi="gobCL"/>
          <w:bCs/>
        </w:rPr>
      </w:pPr>
    </w:p>
    <w:p w:rsidR="004B75A6" w:rsidRPr="00270C61" w:rsidRDefault="0049376B">
      <w:pPr>
        <w:pStyle w:val="Textoindependiente"/>
        <w:rPr>
          <w:rFonts w:ascii="gobCL" w:hAnsi="gobCL"/>
          <w:bCs/>
        </w:rPr>
      </w:pPr>
      <w:r w:rsidRPr="00055A51">
        <w:rPr>
          <w:rFonts w:ascii="gobCL" w:hAnsi="gobCL"/>
          <w:bCs/>
        </w:rPr>
        <w:t>Luego los montos de garantía de s</w:t>
      </w:r>
      <w:r w:rsidR="003E2EB1" w:rsidRPr="00055A51">
        <w:rPr>
          <w:rFonts w:ascii="gobCL" w:hAnsi="gobCL"/>
          <w:bCs/>
        </w:rPr>
        <w:t>eriedad, expresados en unidad tributaria mensual (UTM) de</w:t>
      </w:r>
      <w:r w:rsidR="003E2EB1" w:rsidRPr="00270C61">
        <w:rPr>
          <w:rFonts w:ascii="gobCL" w:hAnsi="gobCL"/>
          <w:bCs/>
        </w:rPr>
        <w:t xml:space="preserve"> acuerdo a los cortes</w:t>
      </w:r>
      <w:r w:rsidR="001F6CBF" w:rsidRPr="00270C61">
        <w:rPr>
          <w:rFonts w:ascii="gobCL" w:hAnsi="gobCL"/>
          <w:bCs/>
        </w:rPr>
        <w:t xml:space="preserve"> </w:t>
      </w:r>
      <w:r w:rsidR="003E2EB1" w:rsidRPr="00270C61">
        <w:rPr>
          <w:rFonts w:ascii="gobCL" w:hAnsi="gobCL"/>
          <w:bCs/>
        </w:rPr>
        <w:t xml:space="preserve">(%) fijos son los </w:t>
      </w:r>
      <w:r w:rsidR="007A7C9A">
        <w:rPr>
          <w:rFonts w:ascii="gobCL" w:hAnsi="gobCL"/>
          <w:bCs/>
        </w:rPr>
        <w:t>que se</w:t>
      </w:r>
      <w:r w:rsidR="00A9554B">
        <w:rPr>
          <w:rFonts w:ascii="gobCL" w:hAnsi="gobCL"/>
          <w:bCs/>
        </w:rPr>
        <w:t xml:space="preserve"> muestran a continuación en la T</w:t>
      </w:r>
      <w:r w:rsidR="007A7C9A">
        <w:rPr>
          <w:rFonts w:ascii="gobCL" w:hAnsi="gobCL"/>
          <w:bCs/>
        </w:rPr>
        <w:t xml:space="preserve">abla </w:t>
      </w:r>
      <w:r w:rsidR="00A9554B">
        <w:rPr>
          <w:rFonts w:ascii="gobCL" w:hAnsi="gobCL"/>
          <w:bCs/>
        </w:rPr>
        <w:t>6</w:t>
      </w:r>
      <w:r w:rsidR="003E2EB1" w:rsidRPr="00270C61">
        <w:rPr>
          <w:rFonts w:ascii="gobCL" w:hAnsi="gobCL"/>
          <w:bCs/>
        </w:rPr>
        <w:t>:</w:t>
      </w:r>
    </w:p>
    <w:p w:rsidR="007D06D5" w:rsidRDefault="007D06D5">
      <w:pPr>
        <w:pStyle w:val="Textoindependiente"/>
        <w:jc w:val="center"/>
        <w:rPr>
          <w:rFonts w:ascii="gobCL" w:hAnsi="gobCL"/>
        </w:rPr>
      </w:pPr>
    </w:p>
    <w:p w:rsidR="00945B32" w:rsidRDefault="00945B32">
      <w:pPr>
        <w:pStyle w:val="Textoindependiente"/>
        <w:jc w:val="center"/>
        <w:rPr>
          <w:rFonts w:ascii="gobCL" w:hAnsi="gobCL"/>
        </w:rPr>
      </w:pPr>
    </w:p>
    <w:p w:rsidR="003E2EB1" w:rsidRPr="00DB78B7" w:rsidRDefault="003E2EB1">
      <w:pPr>
        <w:pStyle w:val="Textoindependiente"/>
        <w:jc w:val="center"/>
        <w:rPr>
          <w:rFonts w:ascii="gobCL" w:hAnsi="gobCL"/>
        </w:rPr>
      </w:pPr>
      <w:r w:rsidRPr="00DB78B7">
        <w:rPr>
          <w:rFonts w:ascii="gobCL" w:hAnsi="gobCL"/>
        </w:rPr>
        <w:t xml:space="preserve">Tabla </w:t>
      </w:r>
      <w:r w:rsidR="00A9554B">
        <w:rPr>
          <w:rFonts w:ascii="gobCL" w:hAnsi="gobCL"/>
        </w:rPr>
        <w:t>6</w:t>
      </w:r>
      <w:r w:rsidR="000774D1">
        <w:rPr>
          <w:rFonts w:ascii="gobCL" w:hAnsi="gobCL"/>
        </w:rPr>
        <w:t>.</w:t>
      </w:r>
      <w:r w:rsidRPr="00DB78B7">
        <w:rPr>
          <w:rFonts w:ascii="gobCL" w:hAnsi="gobCL"/>
        </w:rPr>
        <w:t xml:space="preserve"> Montos de </w:t>
      </w:r>
      <w:r w:rsidR="00B0090E" w:rsidRPr="00DB78B7">
        <w:rPr>
          <w:rFonts w:ascii="gobCL" w:hAnsi="gobCL"/>
        </w:rPr>
        <w:t>g</w:t>
      </w:r>
      <w:r w:rsidRPr="00DB78B7">
        <w:rPr>
          <w:rFonts w:ascii="gobCL" w:hAnsi="gobCL"/>
        </w:rPr>
        <w:t xml:space="preserve">arantía de </w:t>
      </w:r>
      <w:r w:rsidR="00B0090E" w:rsidRPr="00DB78B7">
        <w:rPr>
          <w:rFonts w:ascii="gobCL" w:hAnsi="gobCL"/>
        </w:rPr>
        <w:t>s</w:t>
      </w:r>
      <w:r w:rsidRPr="00DB78B7">
        <w:rPr>
          <w:rFonts w:ascii="gobCL" w:hAnsi="gobCL"/>
        </w:rPr>
        <w:t xml:space="preserve">eriedad de la </w:t>
      </w:r>
      <w:r w:rsidR="00B0090E" w:rsidRPr="00DB78B7">
        <w:rPr>
          <w:rFonts w:ascii="gobCL" w:hAnsi="gobCL"/>
        </w:rPr>
        <w:t>o</w:t>
      </w:r>
      <w:r w:rsidRPr="00DB78B7">
        <w:rPr>
          <w:rFonts w:ascii="gobCL" w:hAnsi="gobCL"/>
        </w:rPr>
        <w:t>ferta</w:t>
      </w:r>
      <w:r w:rsidR="00B0090E" w:rsidRPr="00DB78B7">
        <w:rPr>
          <w:rFonts w:ascii="gobCL" w:hAnsi="gobCL"/>
        </w:rPr>
        <w:t xml:space="preserve"> </w:t>
      </w:r>
      <w:r w:rsidRPr="00DB78B7">
        <w:rPr>
          <w:rFonts w:ascii="gobCL" w:hAnsi="gobCL"/>
        </w:rPr>
        <w:t>(UTM)</w:t>
      </w:r>
      <w:r w:rsidR="00B0090E" w:rsidRPr="00DB78B7">
        <w:rPr>
          <w:rFonts w:ascii="gobCL" w:hAnsi="gobCL"/>
        </w:rPr>
        <w:t xml:space="preserve">, </w:t>
      </w:r>
      <w:r w:rsidR="00991C1A" w:rsidRPr="00DB78B7">
        <w:rPr>
          <w:rFonts w:ascii="gobCL" w:hAnsi="gobCL"/>
        </w:rPr>
        <w:t xml:space="preserve">re licitación </w:t>
      </w:r>
      <w:r w:rsidR="00B0090E" w:rsidRPr="00DB78B7">
        <w:rPr>
          <w:rFonts w:ascii="gobCL" w:hAnsi="gobCL"/>
        </w:rPr>
        <w:t>fracción artesanal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055"/>
        <w:gridCol w:w="2021"/>
        <w:gridCol w:w="1483"/>
      </w:tblGrid>
      <w:tr w:rsidR="005B2E42" w:rsidRPr="00A9554B" w:rsidTr="006C41F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E42" w:rsidRPr="00A9554B" w:rsidRDefault="006C41F1" w:rsidP="006C41F1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18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18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E42" w:rsidRPr="00A9554B" w:rsidRDefault="006C41F1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18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Tamaño del lote (%) Fijo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E42" w:rsidRPr="00A9554B" w:rsidRDefault="006C41F1" w:rsidP="005B2E4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18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Periodo de vigencia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E42" w:rsidRPr="00A9554B" w:rsidRDefault="00D7784B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18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18"/>
              </w:rPr>
              <w:t>Garantía en  UTM</w:t>
            </w:r>
          </w:p>
        </w:tc>
      </w:tr>
      <w:tr w:rsidR="00FE654C" w:rsidRPr="00A9554B" w:rsidTr="004F4C8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4C" w:rsidRPr="00A9554B" w:rsidRDefault="00FE654C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</w:t>
            </w:r>
            <w:r w:rsidR="00287163">
              <w:rPr>
                <w:rFonts w:ascii="gobCL" w:hAnsi="gobCL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4C" w:rsidRPr="00A9554B" w:rsidRDefault="00287163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1</w:t>
            </w:r>
            <w:r w:rsidR="00FE654C" w:rsidRPr="00A9554B">
              <w:rPr>
                <w:rFonts w:ascii="gobCL" w:hAnsi="gobCL"/>
                <w:color w:val="000000"/>
                <w:sz w:val="18"/>
                <w:szCs w:val="22"/>
              </w:rPr>
              <w:t>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4C" w:rsidRPr="00A9554B" w:rsidRDefault="00FE654C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2021 - 2025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4C" w:rsidRPr="00A9554B" w:rsidRDefault="00B540CD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68,19</w:t>
            </w:r>
          </w:p>
        </w:tc>
      </w:tr>
      <w:tr w:rsidR="00287163" w:rsidRPr="00A9554B" w:rsidTr="004F4C8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63" w:rsidRPr="00A9554B" w:rsidRDefault="006201EE" w:rsidP="0028716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63" w:rsidRPr="00A9554B" w:rsidRDefault="00287163" w:rsidP="0028716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1,00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63" w:rsidRPr="00A9554B" w:rsidRDefault="00287163" w:rsidP="0028716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2021 - 2025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63" w:rsidRPr="00A9554B" w:rsidRDefault="00287163" w:rsidP="0028716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45,46</w:t>
            </w:r>
          </w:p>
        </w:tc>
      </w:tr>
      <w:tr w:rsidR="00FE654C" w:rsidRPr="00A9554B" w:rsidTr="004F4C8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4C" w:rsidRPr="00A9554B" w:rsidRDefault="006201EE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4C" w:rsidRPr="00A9554B" w:rsidRDefault="00FE654C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4C" w:rsidRPr="00A9554B" w:rsidRDefault="00FE654C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2021 - 2022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4C" w:rsidRPr="00A9554B" w:rsidRDefault="00FE654C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45,46</w:t>
            </w:r>
          </w:p>
        </w:tc>
      </w:tr>
      <w:tr w:rsidR="00FE654C" w:rsidRPr="00A9554B" w:rsidTr="004F4C8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4C" w:rsidRPr="00663578" w:rsidRDefault="006201EE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4C" w:rsidRPr="00A9554B" w:rsidRDefault="00FE654C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4C" w:rsidRPr="00A9554B" w:rsidRDefault="00FE654C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2021 - 2026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4C" w:rsidRPr="00A9554B" w:rsidRDefault="00FE654C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22,73</w:t>
            </w:r>
          </w:p>
        </w:tc>
      </w:tr>
      <w:tr w:rsidR="00FE654C" w:rsidRPr="00A9554B" w:rsidTr="004F4C8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4C" w:rsidRPr="00663578" w:rsidRDefault="006201EE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4C" w:rsidRPr="00A9554B" w:rsidRDefault="00FE654C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4C" w:rsidRPr="00A9554B" w:rsidRDefault="00FE654C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2021 - 2024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4C" w:rsidRPr="00A9554B" w:rsidRDefault="00FE654C" w:rsidP="00BD7AA3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22,73</w:t>
            </w:r>
          </w:p>
        </w:tc>
      </w:tr>
    </w:tbl>
    <w:p w:rsidR="004E094B" w:rsidRPr="00BA752E" w:rsidRDefault="004E094B" w:rsidP="00BA752E">
      <w:pPr>
        <w:jc w:val="center"/>
        <w:rPr>
          <w:rFonts w:ascii="gobCL" w:hAnsi="gobCL"/>
          <w:color w:val="000000"/>
          <w:sz w:val="20"/>
          <w:szCs w:val="18"/>
        </w:rPr>
      </w:pPr>
    </w:p>
    <w:p w:rsidR="00945B32" w:rsidRDefault="00945B32">
      <w:pPr>
        <w:rPr>
          <w:rFonts w:ascii="gobCL" w:hAnsi="gobCL"/>
          <w:b/>
          <w:bCs/>
          <w:u w:val="single"/>
        </w:rPr>
      </w:pPr>
      <w:r>
        <w:rPr>
          <w:rFonts w:ascii="gobCL" w:hAnsi="gobCL"/>
          <w:b/>
          <w:bCs/>
          <w:u w:val="single"/>
        </w:rPr>
        <w:br w:type="page"/>
      </w:r>
    </w:p>
    <w:p w:rsidR="003E2EB1" w:rsidRPr="00270C61" w:rsidRDefault="003E2EB1">
      <w:pPr>
        <w:pStyle w:val="Textoindependiente"/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lastRenderedPageBreak/>
        <w:t>Conclusiones</w:t>
      </w:r>
    </w:p>
    <w:p w:rsidR="002027A7" w:rsidRDefault="002027A7" w:rsidP="00127CAB">
      <w:pPr>
        <w:pStyle w:val="Textoindependiente"/>
        <w:rPr>
          <w:rFonts w:ascii="gobCL" w:hAnsi="gobCL"/>
          <w:bCs/>
        </w:rPr>
      </w:pPr>
    </w:p>
    <w:p w:rsidR="004E094B" w:rsidRDefault="007C3B92" w:rsidP="00127CAB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S</w:t>
      </w:r>
      <w:r w:rsidR="000774D1">
        <w:rPr>
          <w:rFonts w:ascii="gobCL" w:hAnsi="gobCL"/>
          <w:bCs/>
        </w:rPr>
        <w:t xml:space="preserve">e </w:t>
      </w:r>
      <w:r w:rsidR="00F07C04">
        <w:rPr>
          <w:rFonts w:ascii="gobCL" w:hAnsi="gobCL"/>
          <w:bCs/>
        </w:rPr>
        <w:t xml:space="preserve">recomienda </w:t>
      </w:r>
      <w:r w:rsidR="003E2EB1" w:rsidRPr="00663578">
        <w:rPr>
          <w:rFonts w:ascii="gobCL" w:hAnsi="gobCL"/>
          <w:bCs/>
        </w:rPr>
        <w:t>licitar el</w:t>
      </w:r>
      <w:r w:rsidR="009628D0" w:rsidRPr="00663578">
        <w:rPr>
          <w:rFonts w:ascii="gobCL" w:hAnsi="gobCL"/>
          <w:bCs/>
        </w:rPr>
        <w:t xml:space="preserve"> </w:t>
      </w:r>
      <w:r w:rsidR="009157C2" w:rsidRPr="00663578">
        <w:rPr>
          <w:rFonts w:ascii="gobCL" w:hAnsi="gobCL"/>
          <w:bCs/>
        </w:rPr>
        <w:t>4</w:t>
      </w:r>
      <w:r w:rsidR="009628D0" w:rsidRPr="00663578">
        <w:rPr>
          <w:rFonts w:ascii="gobCL" w:hAnsi="gobCL"/>
          <w:bCs/>
        </w:rPr>
        <w:t>,</w:t>
      </w:r>
      <w:r w:rsidR="00F07C04" w:rsidRPr="00663578">
        <w:rPr>
          <w:rFonts w:ascii="gobCL" w:hAnsi="gobCL"/>
          <w:bCs/>
        </w:rPr>
        <w:t>5</w:t>
      </w:r>
      <w:r w:rsidR="003E2EB1" w:rsidRPr="00663578">
        <w:rPr>
          <w:rFonts w:ascii="gobCL" w:hAnsi="gobCL"/>
          <w:bCs/>
        </w:rPr>
        <w:t>% de la</w:t>
      </w:r>
      <w:r w:rsidR="003E2EB1" w:rsidRPr="00270C61">
        <w:rPr>
          <w:rFonts w:ascii="gobCL" w:hAnsi="gobCL"/>
          <w:bCs/>
        </w:rPr>
        <w:t xml:space="preserve"> cuota de bacalao de profundidad</w:t>
      </w:r>
      <w:r w:rsidR="002742B1">
        <w:rPr>
          <w:rFonts w:ascii="gobCL" w:hAnsi="gobCL"/>
          <w:bCs/>
        </w:rPr>
        <w:t xml:space="preserve"> del año 2021</w:t>
      </w:r>
      <w:r w:rsidR="007D60C1">
        <w:rPr>
          <w:rFonts w:ascii="gobCL" w:hAnsi="gobCL"/>
          <w:bCs/>
        </w:rPr>
        <w:t>,</w:t>
      </w:r>
      <w:r w:rsidR="00055A51">
        <w:rPr>
          <w:rFonts w:ascii="gobCL" w:hAnsi="gobCL"/>
          <w:bCs/>
        </w:rPr>
        <w:t xml:space="preserve"> fracción artesanal,</w:t>
      </w:r>
      <w:r w:rsidR="003E2EB1" w:rsidRPr="00270C61">
        <w:rPr>
          <w:rFonts w:ascii="gobCL" w:hAnsi="gobCL"/>
          <w:bCs/>
        </w:rPr>
        <w:t xml:space="preserve"> </w:t>
      </w:r>
      <w:r w:rsidR="007D60C1">
        <w:rPr>
          <w:rFonts w:ascii="gobCL" w:hAnsi="gobCL"/>
          <w:bCs/>
        </w:rPr>
        <w:t xml:space="preserve">en régimen de desarrollo incipiente, </w:t>
      </w:r>
      <w:r w:rsidR="003E2EB1" w:rsidRPr="00270C61">
        <w:rPr>
          <w:rFonts w:ascii="gobCL" w:hAnsi="gobCL"/>
          <w:bCs/>
        </w:rPr>
        <w:t>asignada para la temporada 20</w:t>
      </w:r>
      <w:r w:rsidR="002742B1">
        <w:rPr>
          <w:rFonts w:ascii="gobCL" w:hAnsi="gobCL"/>
          <w:bCs/>
        </w:rPr>
        <w:t>21</w:t>
      </w:r>
      <w:r w:rsidR="003E2EB1" w:rsidRPr="00270C61">
        <w:rPr>
          <w:rFonts w:ascii="gobCL" w:hAnsi="gobCL"/>
          <w:bCs/>
        </w:rPr>
        <w:t xml:space="preserve">, </w:t>
      </w:r>
      <w:r w:rsidR="00EC0F3C" w:rsidRPr="00270C61">
        <w:rPr>
          <w:rFonts w:ascii="gobCL" w:hAnsi="gobCL"/>
          <w:bCs/>
        </w:rPr>
        <w:t xml:space="preserve">de acuerdo a lo señalado </w:t>
      </w:r>
      <w:r w:rsidR="00CD7648">
        <w:rPr>
          <w:rFonts w:ascii="gobCL" w:hAnsi="gobCL"/>
          <w:bCs/>
        </w:rPr>
        <w:t xml:space="preserve">en la Tabla </w:t>
      </w:r>
      <w:r w:rsidR="00A9554B">
        <w:rPr>
          <w:rFonts w:ascii="gobCL" w:hAnsi="gobCL"/>
          <w:bCs/>
        </w:rPr>
        <w:t>7</w:t>
      </w:r>
      <w:r w:rsidR="000774D1">
        <w:rPr>
          <w:rFonts w:ascii="gobCL" w:hAnsi="gobCL"/>
          <w:bCs/>
        </w:rPr>
        <w:t>.</w:t>
      </w:r>
    </w:p>
    <w:p w:rsidR="0025283F" w:rsidRPr="004F6EDE" w:rsidRDefault="0025283F" w:rsidP="004E094B">
      <w:pPr>
        <w:jc w:val="center"/>
        <w:rPr>
          <w:rFonts w:ascii="gobCL" w:hAnsi="gobCL"/>
          <w:b/>
          <w:sz w:val="10"/>
        </w:rPr>
      </w:pPr>
    </w:p>
    <w:p w:rsidR="004E094B" w:rsidRPr="00DB78B7" w:rsidRDefault="004E094B" w:rsidP="004E094B">
      <w:pPr>
        <w:jc w:val="center"/>
        <w:rPr>
          <w:rFonts w:ascii="gobCL" w:hAnsi="gobCL"/>
          <w:sz w:val="20"/>
        </w:rPr>
      </w:pPr>
      <w:r w:rsidRPr="00DB78B7">
        <w:rPr>
          <w:rFonts w:ascii="gobCL" w:hAnsi="gobCL"/>
          <w:sz w:val="20"/>
        </w:rPr>
        <w:t xml:space="preserve">Tabla </w:t>
      </w:r>
      <w:r w:rsidR="00A9554B">
        <w:rPr>
          <w:rFonts w:ascii="gobCL" w:hAnsi="gobCL"/>
          <w:sz w:val="20"/>
        </w:rPr>
        <w:t>7</w:t>
      </w:r>
      <w:r w:rsidR="000774D1">
        <w:rPr>
          <w:rFonts w:ascii="gobCL" w:hAnsi="gobCL"/>
          <w:sz w:val="20"/>
        </w:rPr>
        <w:t>.</w:t>
      </w:r>
      <w:r w:rsidRPr="00DB78B7">
        <w:rPr>
          <w:rFonts w:ascii="gobCL" w:hAnsi="gobCL"/>
          <w:sz w:val="20"/>
        </w:rPr>
        <w:t xml:space="preserve"> Lotes a re licitar, fracción artesanal</w:t>
      </w:r>
    </w:p>
    <w:tbl>
      <w:tblPr>
        <w:tblW w:w="79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1625"/>
        <w:gridCol w:w="1470"/>
        <w:gridCol w:w="929"/>
        <w:gridCol w:w="1757"/>
        <w:gridCol w:w="1417"/>
      </w:tblGrid>
      <w:tr w:rsidR="00A9554B" w:rsidRPr="00A9554B" w:rsidTr="00A9554B">
        <w:trPr>
          <w:trHeight w:val="28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54B" w:rsidRPr="00A9554B" w:rsidRDefault="00A9554B" w:rsidP="00027758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Lote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54B" w:rsidRPr="00A9554B" w:rsidRDefault="00A9554B" w:rsidP="00027758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Tamaño del lote (%) Fijo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54B" w:rsidRPr="00A9554B" w:rsidRDefault="00A9554B" w:rsidP="00027758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Periodo de vigencia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54B" w:rsidRPr="00A9554B" w:rsidRDefault="00A9554B" w:rsidP="00027758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Años de vigencia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54B" w:rsidRPr="00A9554B" w:rsidRDefault="00A9554B" w:rsidP="00027758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Tamaño del lote en toneladas 202</w:t>
            </w:r>
            <w:r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54B" w:rsidRPr="00A9554B" w:rsidRDefault="00A9554B" w:rsidP="00D7784B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9554B">
              <w:rPr>
                <w:rFonts w:ascii="gobCL" w:hAnsi="gobCL"/>
                <w:b/>
                <w:bCs/>
                <w:color w:val="000000"/>
                <w:sz w:val="18"/>
                <w:szCs w:val="18"/>
              </w:rPr>
              <w:t>Garantía en UTM</w:t>
            </w:r>
          </w:p>
        </w:tc>
      </w:tr>
      <w:tr w:rsidR="00A9554B" w:rsidRPr="00A9554B" w:rsidTr="00A9554B">
        <w:trPr>
          <w:trHeight w:val="28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554B" w:rsidRPr="00663578" w:rsidRDefault="00A9554B" w:rsidP="006201E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663578">
              <w:rPr>
                <w:rFonts w:ascii="gobCL" w:hAnsi="gobCL"/>
                <w:color w:val="000000"/>
                <w:sz w:val="18"/>
                <w:szCs w:val="22"/>
              </w:rPr>
              <w:t>1</w:t>
            </w:r>
            <w:r w:rsidR="00F72BBE">
              <w:rPr>
                <w:rFonts w:ascii="gobCL" w:hAnsi="gobCL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554B" w:rsidRPr="00A9554B" w:rsidRDefault="00F72BBE" w:rsidP="00DD617F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1</w:t>
            </w:r>
            <w:r w:rsidR="00A9554B" w:rsidRPr="00A9554B">
              <w:rPr>
                <w:rFonts w:ascii="gobCL" w:hAnsi="gobCL"/>
                <w:color w:val="000000"/>
                <w:sz w:val="18"/>
                <w:szCs w:val="22"/>
              </w:rPr>
              <w:t>,50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554B" w:rsidRPr="00A9554B" w:rsidRDefault="00A9554B" w:rsidP="00DD617F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2021 - 2025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54B" w:rsidRPr="00A9554B" w:rsidRDefault="00A9554B" w:rsidP="00DD617F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554B" w:rsidRPr="00A9554B" w:rsidRDefault="003571A6" w:rsidP="00DD617F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29,265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54B" w:rsidRPr="00A9554B" w:rsidRDefault="00F72BBE" w:rsidP="00DD617F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F72BBE">
              <w:rPr>
                <w:rFonts w:ascii="gobCL" w:hAnsi="gobCL"/>
                <w:color w:val="000000"/>
                <w:sz w:val="18"/>
                <w:szCs w:val="22"/>
              </w:rPr>
              <w:t>68,19</w:t>
            </w:r>
          </w:p>
        </w:tc>
      </w:tr>
      <w:tr w:rsidR="00F72BBE" w:rsidRPr="00A9554B" w:rsidTr="00A9554B">
        <w:trPr>
          <w:trHeight w:val="28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663578" w:rsidRDefault="006201E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1.00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2021 - 2025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19,51</w:t>
            </w:r>
            <w:r w:rsidR="003571A6">
              <w:rPr>
                <w:rFonts w:ascii="gobCL" w:hAnsi="gobCL"/>
                <w:color w:val="000000"/>
                <w:sz w:val="18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45,46</w:t>
            </w:r>
          </w:p>
        </w:tc>
      </w:tr>
      <w:tr w:rsidR="00F72BBE" w:rsidRPr="00A9554B" w:rsidTr="00A9554B">
        <w:trPr>
          <w:trHeight w:val="28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663578" w:rsidRDefault="006201E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2021 - 2022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19,51</w:t>
            </w:r>
            <w:r w:rsidR="003571A6">
              <w:rPr>
                <w:rFonts w:ascii="gobCL" w:hAnsi="gobCL"/>
                <w:color w:val="000000"/>
                <w:sz w:val="18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45,46</w:t>
            </w:r>
          </w:p>
        </w:tc>
      </w:tr>
      <w:tr w:rsidR="00F72BBE" w:rsidRPr="00A9554B" w:rsidTr="00A9554B">
        <w:trPr>
          <w:trHeight w:val="28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663578" w:rsidRDefault="006201E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2021 - 2026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9,755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22,73</w:t>
            </w:r>
          </w:p>
        </w:tc>
      </w:tr>
      <w:tr w:rsidR="00F72BBE" w:rsidRPr="00A9554B" w:rsidTr="00A9554B">
        <w:trPr>
          <w:trHeight w:val="28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663578" w:rsidRDefault="006201E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/>
                <w:color w:val="000000"/>
                <w:sz w:val="18"/>
                <w:szCs w:val="22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0,50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2021 - 2024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9,755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2BBE" w:rsidRPr="00A9554B" w:rsidRDefault="00F72BBE" w:rsidP="00F72BB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A9554B">
              <w:rPr>
                <w:rFonts w:ascii="gobCL" w:hAnsi="gobCL"/>
                <w:color w:val="000000"/>
                <w:sz w:val="18"/>
                <w:szCs w:val="22"/>
              </w:rPr>
              <w:t>22,73</w:t>
            </w:r>
          </w:p>
        </w:tc>
      </w:tr>
    </w:tbl>
    <w:p w:rsidR="005B2E42" w:rsidRPr="004F6EDE" w:rsidRDefault="005B2E42" w:rsidP="004E094B">
      <w:pPr>
        <w:pStyle w:val="Textoindependiente"/>
        <w:jc w:val="center"/>
        <w:rPr>
          <w:rFonts w:ascii="gobCL" w:hAnsi="gobCL"/>
          <w:b/>
          <w:sz w:val="12"/>
        </w:rPr>
      </w:pPr>
    </w:p>
    <w:p w:rsidR="0025283F" w:rsidRDefault="0025283F">
      <w:pPr>
        <w:pStyle w:val="Textoindependiente"/>
        <w:rPr>
          <w:rFonts w:ascii="gobCL" w:hAnsi="gobCL"/>
          <w:bCs/>
          <w:sz w:val="18"/>
        </w:rPr>
      </w:pPr>
    </w:p>
    <w:p w:rsidR="00171045" w:rsidRDefault="00F72BBE">
      <w:pPr>
        <w:pStyle w:val="Textoindependiente"/>
        <w:rPr>
          <w:rFonts w:ascii="gobCL" w:hAnsi="gobCL"/>
          <w:bCs/>
          <w:sz w:val="18"/>
        </w:rPr>
      </w:pPr>
      <w:r>
        <w:rPr>
          <w:rFonts w:ascii="gobCL" w:hAnsi="gobCL"/>
          <w:bCs/>
          <w:sz w:val="18"/>
        </w:rPr>
        <w:t>Agosto</w:t>
      </w:r>
      <w:r w:rsidR="007821CF">
        <w:rPr>
          <w:rFonts w:ascii="gobCL" w:hAnsi="gobCL"/>
          <w:bCs/>
          <w:sz w:val="18"/>
        </w:rPr>
        <w:t xml:space="preserve"> 2021</w:t>
      </w:r>
    </w:p>
    <w:p w:rsidR="0025283F" w:rsidRDefault="0025283F">
      <w:pPr>
        <w:pStyle w:val="Textoindependiente"/>
        <w:rPr>
          <w:rFonts w:ascii="gobCL" w:hAnsi="gobCL"/>
          <w:bCs/>
          <w:sz w:val="18"/>
        </w:rPr>
      </w:pPr>
    </w:p>
    <w:p w:rsidR="00E04F79" w:rsidRPr="002027A7" w:rsidRDefault="007821CF">
      <w:pPr>
        <w:pStyle w:val="Textoindependiente"/>
        <w:rPr>
          <w:rFonts w:ascii="gobCL" w:hAnsi="gobCL"/>
          <w:bCs/>
          <w:sz w:val="18"/>
        </w:rPr>
      </w:pPr>
      <w:r>
        <w:rPr>
          <w:rFonts w:ascii="gobCL" w:hAnsi="gobCL"/>
          <w:bCs/>
          <w:sz w:val="18"/>
        </w:rPr>
        <w:t>DCN</w:t>
      </w:r>
      <w:r w:rsidR="00725365">
        <w:rPr>
          <w:rFonts w:ascii="gobCL" w:hAnsi="gobCL"/>
          <w:bCs/>
          <w:sz w:val="18"/>
        </w:rPr>
        <w:t>/</w:t>
      </w:r>
      <w:proofErr w:type="spellStart"/>
      <w:r>
        <w:rPr>
          <w:rFonts w:ascii="gobCL" w:hAnsi="gobCL"/>
          <w:bCs/>
          <w:sz w:val="18"/>
        </w:rPr>
        <w:t>aga</w:t>
      </w:r>
      <w:proofErr w:type="spellEnd"/>
    </w:p>
    <w:sectPr w:rsidR="00E04F79" w:rsidRPr="002027A7" w:rsidSect="005D6D9F">
      <w:headerReference w:type="even" r:id="rId11"/>
      <w:headerReference w:type="default" r:id="rId12"/>
      <w:footerReference w:type="default" r:id="rId13"/>
      <w:pgSz w:w="12240" w:h="15840" w:code="1"/>
      <w:pgMar w:top="902" w:right="1191" w:bottom="1440" w:left="1797" w:header="181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97" w:rsidRDefault="00432497">
      <w:r>
        <w:separator/>
      </w:r>
    </w:p>
  </w:endnote>
  <w:endnote w:type="continuationSeparator" w:id="0">
    <w:p w:rsidR="00432497" w:rsidRDefault="0043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1125612058"/>
      <w:docPartObj>
        <w:docPartGallery w:val="Page Numbers (Bottom of Page)"/>
        <w:docPartUnique/>
      </w:docPartObj>
    </w:sdtPr>
    <w:sdtEndPr/>
    <w:sdtContent>
      <w:p w:rsidR="00F1176B" w:rsidRDefault="00F1176B">
        <w:pPr>
          <w:pStyle w:val="Piedepgina"/>
          <w:rPr>
            <w:rFonts w:ascii="Arial Narrow" w:hAnsi="Arial Narrow"/>
          </w:rPr>
        </w:pPr>
        <w:r w:rsidRPr="00271A0B">
          <w:rPr>
            <w:rFonts w:ascii="Arial Narrow" w:hAnsi="Arial Narrow"/>
            <w:noProof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á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76B" w:rsidRPr="00F14052" w:rsidRDefault="00F1176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gobCL" w:hAnsi="gobCL"/>
                                  <w:sz w:val="20"/>
                                </w:rPr>
                              </w:pPr>
                              <w:r w:rsidRPr="00F14052">
                                <w:rPr>
                                  <w:rFonts w:ascii="gobCL" w:hAnsi="gobCL"/>
                                  <w:sz w:val="20"/>
                                </w:rPr>
                                <w:fldChar w:fldCharType="begin"/>
                              </w:r>
                              <w:r w:rsidRPr="00F14052">
                                <w:rPr>
                                  <w:rFonts w:ascii="gobCL" w:hAnsi="gobCL"/>
                                  <w:sz w:val="20"/>
                                </w:rPr>
                                <w:instrText>PAGE   \* MERGEFORMAT</w:instrText>
                              </w:r>
                              <w:r w:rsidRPr="00F14052">
                                <w:rPr>
                                  <w:rFonts w:ascii="gobCL" w:hAnsi="gobCL"/>
                                  <w:sz w:val="20"/>
                                </w:rPr>
                                <w:fldChar w:fldCharType="separate"/>
                              </w:r>
                              <w:r w:rsidR="00305D69">
                                <w:rPr>
                                  <w:rFonts w:ascii="gobCL" w:hAnsi="gobCL"/>
                                  <w:noProof/>
                                  <w:sz w:val="20"/>
                                </w:rPr>
                                <w:t>1</w:t>
                              </w:r>
                              <w:r w:rsidRPr="00F14052">
                                <w:rPr>
                                  <w:rFonts w:ascii="gobCL" w:hAnsi="gobCL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ángulo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f1X+b8UCAACv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F1176B" w:rsidRPr="00F14052" w:rsidRDefault="00F1176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gobCL" w:hAnsi="gobCL"/>
                            <w:sz w:val="20"/>
                          </w:rPr>
                        </w:pPr>
                        <w:r w:rsidRPr="00F14052">
                          <w:rPr>
                            <w:rFonts w:ascii="gobCL" w:hAnsi="gobCL"/>
                            <w:sz w:val="20"/>
                          </w:rPr>
                          <w:fldChar w:fldCharType="begin"/>
                        </w:r>
                        <w:r w:rsidRPr="00F14052">
                          <w:rPr>
                            <w:rFonts w:ascii="gobCL" w:hAnsi="gobCL"/>
                            <w:sz w:val="20"/>
                          </w:rPr>
                          <w:instrText>PAGE   \* MERGEFORMAT</w:instrText>
                        </w:r>
                        <w:r w:rsidRPr="00F14052">
                          <w:rPr>
                            <w:rFonts w:ascii="gobCL" w:hAnsi="gobCL"/>
                            <w:sz w:val="20"/>
                          </w:rPr>
                          <w:fldChar w:fldCharType="separate"/>
                        </w:r>
                        <w:r w:rsidR="00305D69">
                          <w:rPr>
                            <w:rFonts w:ascii="gobCL" w:hAnsi="gobCL"/>
                            <w:noProof/>
                            <w:sz w:val="20"/>
                          </w:rPr>
                          <w:t>1</w:t>
                        </w:r>
                        <w:r w:rsidRPr="00F14052">
                          <w:rPr>
                            <w:rFonts w:ascii="gobCL" w:hAnsi="gobCL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97" w:rsidRDefault="00432497">
      <w:r>
        <w:separator/>
      </w:r>
    </w:p>
  </w:footnote>
  <w:footnote w:type="continuationSeparator" w:id="0">
    <w:p w:rsidR="00432497" w:rsidRDefault="00432497">
      <w:r>
        <w:continuationSeparator/>
      </w:r>
    </w:p>
  </w:footnote>
  <w:footnote w:id="1">
    <w:p w:rsidR="00F1176B" w:rsidRPr="00E56D1B" w:rsidRDefault="00F1176B">
      <w:pPr>
        <w:pStyle w:val="Textonotapie"/>
        <w:rPr>
          <w:rFonts w:ascii="gobCL" w:hAnsi="gobCL"/>
          <w:sz w:val="18"/>
          <w:lang w:val="es-CL"/>
        </w:rPr>
      </w:pPr>
      <w:r w:rsidRPr="00E56D1B">
        <w:rPr>
          <w:rStyle w:val="Refdenotaalpie"/>
          <w:rFonts w:ascii="gobCL" w:hAnsi="gobCL"/>
          <w:sz w:val="18"/>
        </w:rPr>
        <w:footnoteRef/>
      </w:r>
      <w:proofErr w:type="spellStart"/>
      <w:r w:rsidRPr="00527356">
        <w:rPr>
          <w:rFonts w:ascii="gobCL" w:hAnsi="gobCL"/>
          <w:sz w:val="18"/>
        </w:rPr>
        <w:t>Dec</w:t>
      </w:r>
      <w:proofErr w:type="spellEnd"/>
      <w:r w:rsidRPr="00527356">
        <w:rPr>
          <w:rFonts w:ascii="gobCL" w:hAnsi="gobCL"/>
          <w:sz w:val="18"/>
        </w:rPr>
        <w:t>. Ex. Folio 202000110</w:t>
      </w:r>
      <w:r>
        <w:rPr>
          <w:rFonts w:ascii="gobCL" w:hAnsi="gobCL"/>
          <w:sz w:val="18"/>
        </w:rPr>
        <w:t>.  Valor sanción 2020-2021 Bacalao de profundidad: 233 UTM/Ton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6B" w:rsidRDefault="00F117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176B" w:rsidRDefault="00F117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6B" w:rsidRDefault="00F1176B">
    <w:pPr>
      <w:pStyle w:val="Encabezado"/>
      <w:ind w:right="360"/>
    </w:pPr>
  </w:p>
  <w:p w:rsidR="00F1176B" w:rsidRDefault="00F1176B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111910" cy="1046074"/>
          <wp:effectExtent l="0" t="0" r="0" b="1905"/>
          <wp:docPr id="1" name="Imagen 1" descr="Logo_par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ara_ma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104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0EFBA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C52A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F6C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EA12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A8160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40378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9844F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5A97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64629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8BB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233B0"/>
    <w:multiLevelType w:val="singleLevel"/>
    <w:tmpl w:val="2692F5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03A345A2"/>
    <w:multiLevelType w:val="hybridMultilevel"/>
    <w:tmpl w:val="1F6CF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003F08"/>
    <w:multiLevelType w:val="hybridMultilevel"/>
    <w:tmpl w:val="DFDCBB2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DF65A08"/>
    <w:multiLevelType w:val="hybridMultilevel"/>
    <w:tmpl w:val="6E983C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894D19"/>
    <w:multiLevelType w:val="hybridMultilevel"/>
    <w:tmpl w:val="DFDCBB24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F600893"/>
    <w:multiLevelType w:val="hybridMultilevel"/>
    <w:tmpl w:val="4AE47A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963952"/>
    <w:multiLevelType w:val="hybridMultilevel"/>
    <w:tmpl w:val="A15E19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0F3E17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F81581"/>
    <w:multiLevelType w:val="hybridMultilevel"/>
    <w:tmpl w:val="3754D8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4C5C38"/>
    <w:multiLevelType w:val="hybridMultilevel"/>
    <w:tmpl w:val="233888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46311C"/>
    <w:multiLevelType w:val="hybridMultilevel"/>
    <w:tmpl w:val="BE4CF18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88066CF"/>
    <w:multiLevelType w:val="hybridMultilevel"/>
    <w:tmpl w:val="BF1C40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9DF010A"/>
    <w:multiLevelType w:val="hybridMultilevel"/>
    <w:tmpl w:val="23D896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C8518D1"/>
    <w:multiLevelType w:val="hybridMultilevel"/>
    <w:tmpl w:val="5A6EB48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9650B89"/>
    <w:multiLevelType w:val="hybridMultilevel"/>
    <w:tmpl w:val="71009F2A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3A0D512F"/>
    <w:multiLevelType w:val="hybridMultilevel"/>
    <w:tmpl w:val="40A8E64A"/>
    <w:lvl w:ilvl="0" w:tplc="C4A0A58A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EB1CA8"/>
    <w:multiLevelType w:val="hybridMultilevel"/>
    <w:tmpl w:val="FB487E6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146965"/>
    <w:multiLevelType w:val="hybridMultilevel"/>
    <w:tmpl w:val="4D70111A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AB123B"/>
    <w:multiLevelType w:val="hybridMultilevel"/>
    <w:tmpl w:val="273A3874"/>
    <w:lvl w:ilvl="0" w:tplc="3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FE2421"/>
    <w:multiLevelType w:val="hybridMultilevel"/>
    <w:tmpl w:val="E2FC8A02"/>
    <w:lvl w:ilvl="0" w:tplc="7486B748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E7E5E"/>
    <w:multiLevelType w:val="hybridMultilevel"/>
    <w:tmpl w:val="43C403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2084825"/>
    <w:multiLevelType w:val="hybridMultilevel"/>
    <w:tmpl w:val="04C66B1C"/>
    <w:lvl w:ilvl="0" w:tplc="46AA7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902FA9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6D00A0"/>
    <w:multiLevelType w:val="hybridMultilevel"/>
    <w:tmpl w:val="37807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9B2083"/>
    <w:multiLevelType w:val="hybridMultilevel"/>
    <w:tmpl w:val="43C4036C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CFE505E"/>
    <w:multiLevelType w:val="hybridMultilevel"/>
    <w:tmpl w:val="D102BD4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2C2575"/>
    <w:multiLevelType w:val="hybridMultilevel"/>
    <w:tmpl w:val="5A6EB4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31577B0"/>
    <w:multiLevelType w:val="hybridMultilevel"/>
    <w:tmpl w:val="C4FEF34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3335F61"/>
    <w:multiLevelType w:val="hybridMultilevel"/>
    <w:tmpl w:val="A2B8E2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9ED08D8"/>
    <w:multiLevelType w:val="hybridMultilevel"/>
    <w:tmpl w:val="DB029F5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822C25"/>
    <w:multiLevelType w:val="hybridMultilevel"/>
    <w:tmpl w:val="97763718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09642A"/>
    <w:multiLevelType w:val="hybridMultilevel"/>
    <w:tmpl w:val="F1D87274"/>
    <w:lvl w:ilvl="0" w:tplc="340A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E3D38"/>
    <w:multiLevelType w:val="hybridMultilevel"/>
    <w:tmpl w:val="BE4CF18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BF11697"/>
    <w:multiLevelType w:val="hybridMultilevel"/>
    <w:tmpl w:val="AFAC0DA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40"/>
  </w:num>
  <w:num w:numId="4">
    <w:abstractNumId w:val="43"/>
  </w:num>
  <w:num w:numId="5">
    <w:abstractNumId w:val="35"/>
  </w:num>
  <w:num w:numId="6">
    <w:abstractNumId w:val="27"/>
  </w:num>
  <w:num w:numId="7">
    <w:abstractNumId w:val="2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2"/>
  </w:num>
  <w:num w:numId="19">
    <w:abstractNumId w:val="38"/>
  </w:num>
  <w:num w:numId="20">
    <w:abstractNumId w:val="24"/>
  </w:num>
  <w:num w:numId="21">
    <w:abstractNumId w:val="36"/>
  </w:num>
  <w:num w:numId="22">
    <w:abstractNumId w:val="23"/>
  </w:num>
  <w:num w:numId="23">
    <w:abstractNumId w:val="42"/>
  </w:num>
  <w:num w:numId="24">
    <w:abstractNumId w:val="20"/>
  </w:num>
  <w:num w:numId="25">
    <w:abstractNumId w:val="37"/>
  </w:num>
  <w:num w:numId="26">
    <w:abstractNumId w:val="14"/>
  </w:num>
  <w:num w:numId="27">
    <w:abstractNumId w:val="12"/>
  </w:num>
  <w:num w:numId="28">
    <w:abstractNumId w:val="30"/>
  </w:num>
  <w:num w:numId="29">
    <w:abstractNumId w:val="34"/>
  </w:num>
  <w:num w:numId="30">
    <w:abstractNumId w:val="21"/>
  </w:num>
  <w:num w:numId="31">
    <w:abstractNumId w:val="13"/>
  </w:num>
  <w:num w:numId="32">
    <w:abstractNumId w:val="11"/>
  </w:num>
  <w:num w:numId="33">
    <w:abstractNumId w:val="18"/>
  </w:num>
  <w:num w:numId="34">
    <w:abstractNumId w:val="15"/>
  </w:num>
  <w:num w:numId="35">
    <w:abstractNumId w:val="16"/>
  </w:num>
  <w:num w:numId="36">
    <w:abstractNumId w:val="19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5"/>
  </w:num>
  <w:num w:numId="40">
    <w:abstractNumId w:val="32"/>
  </w:num>
  <w:num w:numId="41">
    <w:abstractNumId w:val="29"/>
  </w:num>
  <w:num w:numId="42">
    <w:abstractNumId w:val="41"/>
  </w:num>
  <w:num w:numId="43">
    <w:abstractNumId w:val="28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67"/>
    <w:rsid w:val="00002C69"/>
    <w:rsid w:val="000075BC"/>
    <w:rsid w:val="00010B0B"/>
    <w:rsid w:val="00011552"/>
    <w:rsid w:val="00012FE6"/>
    <w:rsid w:val="00013378"/>
    <w:rsid w:val="000222A8"/>
    <w:rsid w:val="00022E0B"/>
    <w:rsid w:val="00027758"/>
    <w:rsid w:val="000308E5"/>
    <w:rsid w:val="0003278A"/>
    <w:rsid w:val="00032A71"/>
    <w:rsid w:val="00055A51"/>
    <w:rsid w:val="0006065C"/>
    <w:rsid w:val="00061018"/>
    <w:rsid w:val="0007158F"/>
    <w:rsid w:val="00071FFE"/>
    <w:rsid w:val="00073793"/>
    <w:rsid w:val="000774D1"/>
    <w:rsid w:val="000806AF"/>
    <w:rsid w:val="00085600"/>
    <w:rsid w:val="00096358"/>
    <w:rsid w:val="000B0442"/>
    <w:rsid w:val="000B3531"/>
    <w:rsid w:val="000D01BB"/>
    <w:rsid w:val="000D1798"/>
    <w:rsid w:val="000D70D1"/>
    <w:rsid w:val="000E0434"/>
    <w:rsid w:val="000E2DA6"/>
    <w:rsid w:val="000E6118"/>
    <w:rsid w:val="000E749E"/>
    <w:rsid w:val="001078FA"/>
    <w:rsid w:val="00112BCE"/>
    <w:rsid w:val="001163D8"/>
    <w:rsid w:val="0011705B"/>
    <w:rsid w:val="00127CAB"/>
    <w:rsid w:val="00130F41"/>
    <w:rsid w:val="00146ECD"/>
    <w:rsid w:val="00152985"/>
    <w:rsid w:val="00153302"/>
    <w:rsid w:val="0015342E"/>
    <w:rsid w:val="00157AC3"/>
    <w:rsid w:val="00167540"/>
    <w:rsid w:val="00171045"/>
    <w:rsid w:val="00176594"/>
    <w:rsid w:val="001A1A86"/>
    <w:rsid w:val="001A604F"/>
    <w:rsid w:val="001A6B1E"/>
    <w:rsid w:val="001B2865"/>
    <w:rsid w:val="001B4150"/>
    <w:rsid w:val="001C0513"/>
    <w:rsid w:val="001D6459"/>
    <w:rsid w:val="001E2E62"/>
    <w:rsid w:val="001E340D"/>
    <w:rsid w:val="001E361C"/>
    <w:rsid w:val="001E5A09"/>
    <w:rsid w:val="001F0714"/>
    <w:rsid w:val="001F3AFD"/>
    <w:rsid w:val="001F6CBF"/>
    <w:rsid w:val="002018B7"/>
    <w:rsid w:val="002022C8"/>
    <w:rsid w:val="002027A7"/>
    <w:rsid w:val="0020287D"/>
    <w:rsid w:val="002055F3"/>
    <w:rsid w:val="002070B7"/>
    <w:rsid w:val="00207F9A"/>
    <w:rsid w:val="002115C7"/>
    <w:rsid w:val="00212552"/>
    <w:rsid w:val="002239DE"/>
    <w:rsid w:val="00226567"/>
    <w:rsid w:val="00244055"/>
    <w:rsid w:val="0025283F"/>
    <w:rsid w:val="00253505"/>
    <w:rsid w:val="00254A3B"/>
    <w:rsid w:val="00257424"/>
    <w:rsid w:val="00257597"/>
    <w:rsid w:val="002614FA"/>
    <w:rsid w:val="0027053B"/>
    <w:rsid w:val="00270C61"/>
    <w:rsid w:val="00271A0B"/>
    <w:rsid w:val="002742B1"/>
    <w:rsid w:val="00280740"/>
    <w:rsid w:val="0028624F"/>
    <w:rsid w:val="00287163"/>
    <w:rsid w:val="002903E5"/>
    <w:rsid w:val="00291E75"/>
    <w:rsid w:val="00293DC6"/>
    <w:rsid w:val="002C2C06"/>
    <w:rsid w:val="002D73B7"/>
    <w:rsid w:val="002E0114"/>
    <w:rsid w:val="002E0776"/>
    <w:rsid w:val="002E7AE0"/>
    <w:rsid w:val="002E7C50"/>
    <w:rsid w:val="00305D69"/>
    <w:rsid w:val="003102E4"/>
    <w:rsid w:val="00314902"/>
    <w:rsid w:val="00315CDA"/>
    <w:rsid w:val="00325D6C"/>
    <w:rsid w:val="00326DDB"/>
    <w:rsid w:val="003320D9"/>
    <w:rsid w:val="003420B2"/>
    <w:rsid w:val="003464D7"/>
    <w:rsid w:val="0035147F"/>
    <w:rsid w:val="003521B8"/>
    <w:rsid w:val="00354BFA"/>
    <w:rsid w:val="00355F6E"/>
    <w:rsid w:val="003571A6"/>
    <w:rsid w:val="00357577"/>
    <w:rsid w:val="00361F11"/>
    <w:rsid w:val="00362630"/>
    <w:rsid w:val="0039445F"/>
    <w:rsid w:val="003A3C3D"/>
    <w:rsid w:val="003B2D81"/>
    <w:rsid w:val="003B7A3A"/>
    <w:rsid w:val="003B7D6D"/>
    <w:rsid w:val="003D79A0"/>
    <w:rsid w:val="003E08FA"/>
    <w:rsid w:val="003E0FF1"/>
    <w:rsid w:val="003E1CD5"/>
    <w:rsid w:val="003E2EB1"/>
    <w:rsid w:val="004074E2"/>
    <w:rsid w:val="00411A32"/>
    <w:rsid w:val="00415D96"/>
    <w:rsid w:val="00420F66"/>
    <w:rsid w:val="004277C0"/>
    <w:rsid w:val="00427C9F"/>
    <w:rsid w:val="004311AE"/>
    <w:rsid w:val="00432497"/>
    <w:rsid w:val="004346CC"/>
    <w:rsid w:val="00436B1A"/>
    <w:rsid w:val="004400E1"/>
    <w:rsid w:val="004458B5"/>
    <w:rsid w:val="00453151"/>
    <w:rsid w:val="004531D3"/>
    <w:rsid w:val="00464CF3"/>
    <w:rsid w:val="00470A66"/>
    <w:rsid w:val="00470DA8"/>
    <w:rsid w:val="004714C7"/>
    <w:rsid w:val="0047583B"/>
    <w:rsid w:val="00483AC3"/>
    <w:rsid w:val="00491838"/>
    <w:rsid w:val="0049376B"/>
    <w:rsid w:val="004A4142"/>
    <w:rsid w:val="004B55A6"/>
    <w:rsid w:val="004B75A6"/>
    <w:rsid w:val="004C52BA"/>
    <w:rsid w:val="004C62B8"/>
    <w:rsid w:val="004D1D9F"/>
    <w:rsid w:val="004D41B4"/>
    <w:rsid w:val="004D708D"/>
    <w:rsid w:val="004E094B"/>
    <w:rsid w:val="004E12F7"/>
    <w:rsid w:val="004F4185"/>
    <w:rsid w:val="004F4C88"/>
    <w:rsid w:val="004F6EDE"/>
    <w:rsid w:val="004F778B"/>
    <w:rsid w:val="004F7E8E"/>
    <w:rsid w:val="00505E05"/>
    <w:rsid w:val="00510320"/>
    <w:rsid w:val="00511A23"/>
    <w:rsid w:val="0052018C"/>
    <w:rsid w:val="00527356"/>
    <w:rsid w:val="005304F9"/>
    <w:rsid w:val="00540A67"/>
    <w:rsid w:val="005639C0"/>
    <w:rsid w:val="00576F05"/>
    <w:rsid w:val="005800EB"/>
    <w:rsid w:val="00580D7A"/>
    <w:rsid w:val="00586980"/>
    <w:rsid w:val="00593963"/>
    <w:rsid w:val="005A0BF9"/>
    <w:rsid w:val="005B2E42"/>
    <w:rsid w:val="005B340E"/>
    <w:rsid w:val="005B4F7B"/>
    <w:rsid w:val="005B60D8"/>
    <w:rsid w:val="005D6D9F"/>
    <w:rsid w:val="005E401F"/>
    <w:rsid w:val="00601ADE"/>
    <w:rsid w:val="00605CD3"/>
    <w:rsid w:val="00613C23"/>
    <w:rsid w:val="0061541B"/>
    <w:rsid w:val="0061545A"/>
    <w:rsid w:val="00616E70"/>
    <w:rsid w:val="006201D7"/>
    <w:rsid w:val="006201EE"/>
    <w:rsid w:val="00623BA1"/>
    <w:rsid w:val="00652EDD"/>
    <w:rsid w:val="00656F97"/>
    <w:rsid w:val="006621F1"/>
    <w:rsid w:val="00663396"/>
    <w:rsid w:val="00663578"/>
    <w:rsid w:val="006725FC"/>
    <w:rsid w:val="00672BBA"/>
    <w:rsid w:val="006778D1"/>
    <w:rsid w:val="00682B7F"/>
    <w:rsid w:val="006853B8"/>
    <w:rsid w:val="006861BC"/>
    <w:rsid w:val="00695EFB"/>
    <w:rsid w:val="006B27A1"/>
    <w:rsid w:val="006C085C"/>
    <w:rsid w:val="006C4131"/>
    <w:rsid w:val="006C41F1"/>
    <w:rsid w:val="006C5718"/>
    <w:rsid w:val="006D3609"/>
    <w:rsid w:val="006E4A9F"/>
    <w:rsid w:val="006E6CA1"/>
    <w:rsid w:val="006E7565"/>
    <w:rsid w:val="006F178D"/>
    <w:rsid w:val="006F6313"/>
    <w:rsid w:val="00700819"/>
    <w:rsid w:val="007068B1"/>
    <w:rsid w:val="00706B5C"/>
    <w:rsid w:val="00710B53"/>
    <w:rsid w:val="007115A4"/>
    <w:rsid w:val="0071194C"/>
    <w:rsid w:val="0071415A"/>
    <w:rsid w:val="007229C7"/>
    <w:rsid w:val="00723AFC"/>
    <w:rsid w:val="00723F16"/>
    <w:rsid w:val="00725365"/>
    <w:rsid w:val="00725502"/>
    <w:rsid w:val="007263D8"/>
    <w:rsid w:val="00736F0E"/>
    <w:rsid w:val="00741EE5"/>
    <w:rsid w:val="00746C81"/>
    <w:rsid w:val="007512CC"/>
    <w:rsid w:val="00753140"/>
    <w:rsid w:val="00761B48"/>
    <w:rsid w:val="007637E8"/>
    <w:rsid w:val="007657D5"/>
    <w:rsid w:val="00771FF2"/>
    <w:rsid w:val="00775B82"/>
    <w:rsid w:val="007776ED"/>
    <w:rsid w:val="00777780"/>
    <w:rsid w:val="007779E3"/>
    <w:rsid w:val="00780178"/>
    <w:rsid w:val="00780648"/>
    <w:rsid w:val="007821CF"/>
    <w:rsid w:val="007A0BD5"/>
    <w:rsid w:val="007A7C9A"/>
    <w:rsid w:val="007B05A8"/>
    <w:rsid w:val="007C3B92"/>
    <w:rsid w:val="007C63F7"/>
    <w:rsid w:val="007C6CBB"/>
    <w:rsid w:val="007D06D5"/>
    <w:rsid w:val="007D60C1"/>
    <w:rsid w:val="007E0635"/>
    <w:rsid w:val="007F2758"/>
    <w:rsid w:val="00801292"/>
    <w:rsid w:val="00803CBE"/>
    <w:rsid w:val="00806EF9"/>
    <w:rsid w:val="00813A07"/>
    <w:rsid w:val="00824330"/>
    <w:rsid w:val="00824928"/>
    <w:rsid w:val="0083636B"/>
    <w:rsid w:val="008402F4"/>
    <w:rsid w:val="00843DB9"/>
    <w:rsid w:val="00862995"/>
    <w:rsid w:val="008659DC"/>
    <w:rsid w:val="00877EB5"/>
    <w:rsid w:val="00881926"/>
    <w:rsid w:val="00887402"/>
    <w:rsid w:val="00894BBD"/>
    <w:rsid w:val="008A081A"/>
    <w:rsid w:val="008A18CC"/>
    <w:rsid w:val="008A49B9"/>
    <w:rsid w:val="008B2458"/>
    <w:rsid w:val="008B4211"/>
    <w:rsid w:val="008B69EF"/>
    <w:rsid w:val="008B7137"/>
    <w:rsid w:val="008C2465"/>
    <w:rsid w:val="008C351C"/>
    <w:rsid w:val="008D6866"/>
    <w:rsid w:val="008D729C"/>
    <w:rsid w:val="008E4B5A"/>
    <w:rsid w:val="008E4F8B"/>
    <w:rsid w:val="008F2B0A"/>
    <w:rsid w:val="008F7E23"/>
    <w:rsid w:val="009157C2"/>
    <w:rsid w:val="009165C6"/>
    <w:rsid w:val="00916A14"/>
    <w:rsid w:val="00916B2D"/>
    <w:rsid w:val="009305BC"/>
    <w:rsid w:val="00936463"/>
    <w:rsid w:val="00943D7C"/>
    <w:rsid w:val="009459F1"/>
    <w:rsid w:val="00945B32"/>
    <w:rsid w:val="00946B03"/>
    <w:rsid w:val="009628D0"/>
    <w:rsid w:val="00965ED9"/>
    <w:rsid w:val="009747A1"/>
    <w:rsid w:val="00991C1A"/>
    <w:rsid w:val="00997418"/>
    <w:rsid w:val="009A09F4"/>
    <w:rsid w:val="009A1DE4"/>
    <w:rsid w:val="009A72B5"/>
    <w:rsid w:val="009B1356"/>
    <w:rsid w:val="009B389F"/>
    <w:rsid w:val="009B3F71"/>
    <w:rsid w:val="009B4D66"/>
    <w:rsid w:val="009B6FCF"/>
    <w:rsid w:val="009C52DA"/>
    <w:rsid w:val="009C5D57"/>
    <w:rsid w:val="009D3947"/>
    <w:rsid w:val="009D7BDD"/>
    <w:rsid w:val="009F0967"/>
    <w:rsid w:val="009F66D9"/>
    <w:rsid w:val="00A01343"/>
    <w:rsid w:val="00A01A94"/>
    <w:rsid w:val="00A133D2"/>
    <w:rsid w:val="00A178BA"/>
    <w:rsid w:val="00A27AF4"/>
    <w:rsid w:val="00A33866"/>
    <w:rsid w:val="00A468FA"/>
    <w:rsid w:val="00A50B56"/>
    <w:rsid w:val="00A514E8"/>
    <w:rsid w:val="00A570EB"/>
    <w:rsid w:val="00A648B8"/>
    <w:rsid w:val="00A72BF9"/>
    <w:rsid w:val="00A75D53"/>
    <w:rsid w:val="00A800FC"/>
    <w:rsid w:val="00A8230F"/>
    <w:rsid w:val="00A9554B"/>
    <w:rsid w:val="00AA1902"/>
    <w:rsid w:val="00AA59A0"/>
    <w:rsid w:val="00AB0C9B"/>
    <w:rsid w:val="00AB6189"/>
    <w:rsid w:val="00AC2988"/>
    <w:rsid w:val="00AC378E"/>
    <w:rsid w:val="00AD152E"/>
    <w:rsid w:val="00AE6815"/>
    <w:rsid w:val="00AE7589"/>
    <w:rsid w:val="00AE78AA"/>
    <w:rsid w:val="00AF34FF"/>
    <w:rsid w:val="00B005AB"/>
    <w:rsid w:val="00B0090E"/>
    <w:rsid w:val="00B00B14"/>
    <w:rsid w:val="00B044A9"/>
    <w:rsid w:val="00B117A2"/>
    <w:rsid w:val="00B14019"/>
    <w:rsid w:val="00B15BF7"/>
    <w:rsid w:val="00B25DAC"/>
    <w:rsid w:val="00B369DD"/>
    <w:rsid w:val="00B45A63"/>
    <w:rsid w:val="00B5104D"/>
    <w:rsid w:val="00B518BB"/>
    <w:rsid w:val="00B522B5"/>
    <w:rsid w:val="00B540CD"/>
    <w:rsid w:val="00B5502B"/>
    <w:rsid w:val="00B63A98"/>
    <w:rsid w:val="00B65AF0"/>
    <w:rsid w:val="00B71202"/>
    <w:rsid w:val="00B76453"/>
    <w:rsid w:val="00B87E33"/>
    <w:rsid w:val="00B9282C"/>
    <w:rsid w:val="00BA3813"/>
    <w:rsid w:val="00BA752E"/>
    <w:rsid w:val="00BB53BD"/>
    <w:rsid w:val="00BB6805"/>
    <w:rsid w:val="00BC6555"/>
    <w:rsid w:val="00BC7626"/>
    <w:rsid w:val="00BD2AFB"/>
    <w:rsid w:val="00BD7AA3"/>
    <w:rsid w:val="00BE14A1"/>
    <w:rsid w:val="00BE40BE"/>
    <w:rsid w:val="00BE584D"/>
    <w:rsid w:val="00BE590C"/>
    <w:rsid w:val="00C00D4B"/>
    <w:rsid w:val="00C10851"/>
    <w:rsid w:val="00C17C13"/>
    <w:rsid w:val="00C203F9"/>
    <w:rsid w:val="00C24552"/>
    <w:rsid w:val="00C25323"/>
    <w:rsid w:val="00C268E7"/>
    <w:rsid w:val="00C31BDC"/>
    <w:rsid w:val="00C543C6"/>
    <w:rsid w:val="00C57585"/>
    <w:rsid w:val="00C63948"/>
    <w:rsid w:val="00C64F3B"/>
    <w:rsid w:val="00C66BDB"/>
    <w:rsid w:val="00C82AE9"/>
    <w:rsid w:val="00C849DB"/>
    <w:rsid w:val="00C87DFB"/>
    <w:rsid w:val="00C93B23"/>
    <w:rsid w:val="00C95CA6"/>
    <w:rsid w:val="00CA4F99"/>
    <w:rsid w:val="00CA6E89"/>
    <w:rsid w:val="00CB0316"/>
    <w:rsid w:val="00CB0C14"/>
    <w:rsid w:val="00CB2D84"/>
    <w:rsid w:val="00CB44B1"/>
    <w:rsid w:val="00CB5B7D"/>
    <w:rsid w:val="00CB7115"/>
    <w:rsid w:val="00CC61E0"/>
    <w:rsid w:val="00CD1B0C"/>
    <w:rsid w:val="00CD7513"/>
    <w:rsid w:val="00CD7648"/>
    <w:rsid w:val="00CE5D10"/>
    <w:rsid w:val="00CE6B5D"/>
    <w:rsid w:val="00CF6E10"/>
    <w:rsid w:val="00D100C2"/>
    <w:rsid w:val="00D14AB0"/>
    <w:rsid w:val="00D2481D"/>
    <w:rsid w:val="00D260C7"/>
    <w:rsid w:val="00D27383"/>
    <w:rsid w:val="00D3540D"/>
    <w:rsid w:val="00D450CC"/>
    <w:rsid w:val="00D50E8D"/>
    <w:rsid w:val="00D75BCC"/>
    <w:rsid w:val="00D7655B"/>
    <w:rsid w:val="00D76CDF"/>
    <w:rsid w:val="00D7784B"/>
    <w:rsid w:val="00D91AE2"/>
    <w:rsid w:val="00DB35E3"/>
    <w:rsid w:val="00DB78B7"/>
    <w:rsid w:val="00DD0C27"/>
    <w:rsid w:val="00DD1CC1"/>
    <w:rsid w:val="00DD45CE"/>
    <w:rsid w:val="00DD46D3"/>
    <w:rsid w:val="00DD617F"/>
    <w:rsid w:val="00DD7465"/>
    <w:rsid w:val="00DE567D"/>
    <w:rsid w:val="00DF4405"/>
    <w:rsid w:val="00DF5646"/>
    <w:rsid w:val="00E047FA"/>
    <w:rsid w:val="00E04F79"/>
    <w:rsid w:val="00E13161"/>
    <w:rsid w:val="00E1468A"/>
    <w:rsid w:val="00E20C84"/>
    <w:rsid w:val="00E2120F"/>
    <w:rsid w:val="00E32F16"/>
    <w:rsid w:val="00E3495B"/>
    <w:rsid w:val="00E53904"/>
    <w:rsid w:val="00E544B3"/>
    <w:rsid w:val="00E55751"/>
    <w:rsid w:val="00E56D1B"/>
    <w:rsid w:val="00E625F7"/>
    <w:rsid w:val="00E8435E"/>
    <w:rsid w:val="00E86B12"/>
    <w:rsid w:val="00E905CF"/>
    <w:rsid w:val="00E95A06"/>
    <w:rsid w:val="00E9793D"/>
    <w:rsid w:val="00EA14B9"/>
    <w:rsid w:val="00EB57C8"/>
    <w:rsid w:val="00EB737E"/>
    <w:rsid w:val="00EB75D3"/>
    <w:rsid w:val="00EC0F3C"/>
    <w:rsid w:val="00EC1010"/>
    <w:rsid w:val="00ED54AA"/>
    <w:rsid w:val="00EE2728"/>
    <w:rsid w:val="00EE46BD"/>
    <w:rsid w:val="00EF0C68"/>
    <w:rsid w:val="00EF1567"/>
    <w:rsid w:val="00EF18E9"/>
    <w:rsid w:val="00F019D5"/>
    <w:rsid w:val="00F0713A"/>
    <w:rsid w:val="00F07C04"/>
    <w:rsid w:val="00F1009F"/>
    <w:rsid w:val="00F1176B"/>
    <w:rsid w:val="00F13FDA"/>
    <w:rsid w:val="00F14052"/>
    <w:rsid w:val="00F21B75"/>
    <w:rsid w:val="00F24080"/>
    <w:rsid w:val="00F3209F"/>
    <w:rsid w:val="00F32274"/>
    <w:rsid w:val="00F42ABE"/>
    <w:rsid w:val="00F4581B"/>
    <w:rsid w:val="00F47EB0"/>
    <w:rsid w:val="00F54E34"/>
    <w:rsid w:val="00F5697F"/>
    <w:rsid w:val="00F56AB3"/>
    <w:rsid w:val="00F6213F"/>
    <w:rsid w:val="00F63B1D"/>
    <w:rsid w:val="00F70FC2"/>
    <w:rsid w:val="00F72BBE"/>
    <w:rsid w:val="00F745C5"/>
    <w:rsid w:val="00F74E7B"/>
    <w:rsid w:val="00F76922"/>
    <w:rsid w:val="00F80B0C"/>
    <w:rsid w:val="00F94054"/>
    <w:rsid w:val="00FA0581"/>
    <w:rsid w:val="00FA081E"/>
    <w:rsid w:val="00FA66FC"/>
    <w:rsid w:val="00FA7BDD"/>
    <w:rsid w:val="00FB4FBA"/>
    <w:rsid w:val="00FD09EB"/>
    <w:rsid w:val="00FE141F"/>
    <w:rsid w:val="00FE27AD"/>
    <w:rsid w:val="00FE654C"/>
    <w:rsid w:val="00FF1366"/>
    <w:rsid w:val="00FF1EF9"/>
    <w:rsid w:val="00FF41BB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00"/>
    <w:rPr>
      <w:sz w:val="24"/>
      <w:szCs w:val="24"/>
    </w:rPr>
  </w:style>
  <w:style w:type="paragraph" w:styleId="Ttulo1">
    <w:name w:val="heading 1"/>
    <w:basedOn w:val="Normal"/>
    <w:next w:val="Normal"/>
    <w:qFormat/>
    <w:rsid w:val="0008560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85600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0856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856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856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8560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8560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8560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56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85600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085600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085600"/>
    <w:rPr>
      <w:color w:val="0000FF"/>
      <w:u w:val="single"/>
    </w:rPr>
  </w:style>
  <w:style w:type="paragraph" w:styleId="Ttulo">
    <w:name w:val="Title"/>
    <w:basedOn w:val="Normal"/>
    <w:qFormat/>
    <w:rsid w:val="00085600"/>
    <w:pPr>
      <w:widowControl w:val="0"/>
      <w:jc w:val="center"/>
    </w:pPr>
    <w:rPr>
      <w:rFonts w:ascii="Arial" w:hAnsi="Arial"/>
      <w:b/>
      <w:szCs w:val="20"/>
      <w:u w:val="single"/>
      <w:lang w:val="es-ES_tradnl"/>
    </w:rPr>
  </w:style>
  <w:style w:type="paragraph" w:styleId="Textoindependiente2">
    <w:name w:val="Body Text 2"/>
    <w:basedOn w:val="Normal"/>
    <w:rsid w:val="00085600"/>
    <w:pPr>
      <w:widowControl w:val="0"/>
      <w:jc w:val="both"/>
    </w:pPr>
    <w:rPr>
      <w:rFonts w:ascii="Book Antiqua" w:hAnsi="Book Antiqua"/>
      <w:sz w:val="22"/>
      <w:szCs w:val="20"/>
      <w:lang w:val="es-ES_tradnl"/>
    </w:rPr>
  </w:style>
  <w:style w:type="character" w:styleId="Nmerodepgina">
    <w:name w:val="page number"/>
    <w:basedOn w:val="Fuentedeprrafopredeter"/>
    <w:rsid w:val="00085600"/>
  </w:style>
  <w:style w:type="paragraph" w:styleId="Textoindependiente">
    <w:name w:val="Body Text"/>
    <w:basedOn w:val="Normal"/>
    <w:link w:val="TextoindependienteCar"/>
    <w:rsid w:val="00085600"/>
    <w:pPr>
      <w:jc w:val="both"/>
    </w:pPr>
    <w:rPr>
      <w:rFonts w:ascii="Book Antiqua" w:hAnsi="Book Antiqua"/>
      <w:sz w:val="20"/>
    </w:rPr>
  </w:style>
  <w:style w:type="paragraph" w:styleId="Cierre">
    <w:name w:val="Closing"/>
    <w:basedOn w:val="Normal"/>
    <w:rsid w:val="00085600"/>
    <w:pPr>
      <w:ind w:left="4252"/>
    </w:pPr>
  </w:style>
  <w:style w:type="paragraph" w:styleId="Continuarlista">
    <w:name w:val="List Continue"/>
    <w:basedOn w:val="Normal"/>
    <w:rsid w:val="00085600"/>
    <w:pPr>
      <w:spacing w:after="120"/>
      <w:ind w:left="283"/>
    </w:pPr>
  </w:style>
  <w:style w:type="paragraph" w:styleId="Continuarlista2">
    <w:name w:val="List Continue 2"/>
    <w:basedOn w:val="Normal"/>
    <w:rsid w:val="00085600"/>
    <w:pPr>
      <w:spacing w:after="120"/>
      <w:ind w:left="566"/>
    </w:pPr>
  </w:style>
  <w:style w:type="paragraph" w:styleId="Continuarlista3">
    <w:name w:val="List Continue 3"/>
    <w:basedOn w:val="Normal"/>
    <w:rsid w:val="00085600"/>
    <w:pPr>
      <w:spacing w:after="120"/>
      <w:ind w:left="849"/>
    </w:pPr>
  </w:style>
  <w:style w:type="paragraph" w:styleId="Continuarlista4">
    <w:name w:val="List Continue 4"/>
    <w:basedOn w:val="Normal"/>
    <w:rsid w:val="00085600"/>
    <w:pPr>
      <w:spacing w:after="120"/>
      <w:ind w:left="1132"/>
    </w:pPr>
  </w:style>
  <w:style w:type="paragraph" w:styleId="Continuarlista5">
    <w:name w:val="List Continue 5"/>
    <w:basedOn w:val="Normal"/>
    <w:rsid w:val="00085600"/>
    <w:pPr>
      <w:spacing w:after="120"/>
      <w:ind w:left="1415"/>
    </w:pPr>
  </w:style>
  <w:style w:type="paragraph" w:styleId="DireccinHTML">
    <w:name w:val="HTML Address"/>
    <w:basedOn w:val="Normal"/>
    <w:rsid w:val="00085600"/>
    <w:rPr>
      <w:i/>
      <w:iCs/>
    </w:rPr>
  </w:style>
  <w:style w:type="paragraph" w:styleId="Direccinsobre">
    <w:name w:val="envelope address"/>
    <w:basedOn w:val="Normal"/>
    <w:rsid w:val="0008560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085600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0856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085600"/>
  </w:style>
  <w:style w:type="paragraph" w:styleId="Epgrafe">
    <w:name w:val="caption"/>
    <w:basedOn w:val="Normal"/>
    <w:next w:val="Normal"/>
    <w:qFormat/>
    <w:rsid w:val="00085600"/>
    <w:pPr>
      <w:spacing w:before="120" w:after="120"/>
    </w:pPr>
    <w:rPr>
      <w:b/>
      <w:bCs/>
      <w:sz w:val="20"/>
      <w:szCs w:val="20"/>
    </w:rPr>
  </w:style>
  <w:style w:type="paragraph" w:styleId="Fecha">
    <w:name w:val="Date"/>
    <w:basedOn w:val="Normal"/>
    <w:next w:val="Normal"/>
    <w:rsid w:val="00085600"/>
  </w:style>
  <w:style w:type="paragraph" w:styleId="Firma">
    <w:name w:val="Signature"/>
    <w:basedOn w:val="Normal"/>
    <w:rsid w:val="00085600"/>
    <w:pPr>
      <w:ind w:left="4252"/>
    </w:pPr>
  </w:style>
  <w:style w:type="paragraph" w:styleId="Firmadecorreoelectrnico">
    <w:name w:val="E-mail Signature"/>
    <w:basedOn w:val="Normal"/>
    <w:rsid w:val="00085600"/>
  </w:style>
  <w:style w:type="paragraph" w:styleId="HTMLconformatoprevio">
    <w:name w:val="HTML Preformatted"/>
    <w:basedOn w:val="Normal"/>
    <w:rsid w:val="00085600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85600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085600"/>
    <w:pPr>
      <w:ind w:left="480" w:hanging="240"/>
    </w:pPr>
    <w:rPr>
      <w:i/>
      <w:iCs/>
      <w:sz w:val="20"/>
      <w:u w:val="single"/>
    </w:rPr>
  </w:style>
  <w:style w:type="paragraph" w:styleId="ndice3">
    <w:name w:val="index 3"/>
    <w:basedOn w:val="Normal"/>
    <w:next w:val="Normal"/>
    <w:autoRedefine/>
    <w:semiHidden/>
    <w:rsid w:val="00085600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085600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085600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085600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085600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085600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085600"/>
    <w:pPr>
      <w:ind w:left="2160" w:hanging="240"/>
    </w:pPr>
  </w:style>
  <w:style w:type="paragraph" w:styleId="Lista">
    <w:name w:val="List"/>
    <w:basedOn w:val="Normal"/>
    <w:rsid w:val="00085600"/>
    <w:pPr>
      <w:ind w:left="283" w:hanging="283"/>
    </w:pPr>
  </w:style>
  <w:style w:type="paragraph" w:styleId="Lista2">
    <w:name w:val="List 2"/>
    <w:basedOn w:val="Normal"/>
    <w:rsid w:val="00085600"/>
    <w:pPr>
      <w:ind w:left="566" w:hanging="283"/>
    </w:pPr>
  </w:style>
  <w:style w:type="paragraph" w:styleId="Lista3">
    <w:name w:val="List 3"/>
    <w:basedOn w:val="Normal"/>
    <w:rsid w:val="00085600"/>
    <w:pPr>
      <w:ind w:left="849" w:hanging="283"/>
    </w:pPr>
  </w:style>
  <w:style w:type="paragraph" w:styleId="Lista4">
    <w:name w:val="List 4"/>
    <w:basedOn w:val="Normal"/>
    <w:rsid w:val="00085600"/>
    <w:pPr>
      <w:ind w:left="1132" w:hanging="283"/>
    </w:pPr>
  </w:style>
  <w:style w:type="paragraph" w:styleId="Lista5">
    <w:name w:val="List 5"/>
    <w:basedOn w:val="Normal"/>
    <w:rsid w:val="00085600"/>
    <w:pPr>
      <w:ind w:left="1415" w:hanging="283"/>
    </w:pPr>
  </w:style>
  <w:style w:type="paragraph" w:styleId="Listaconnmeros">
    <w:name w:val="List Number"/>
    <w:basedOn w:val="Normal"/>
    <w:rsid w:val="00085600"/>
    <w:pPr>
      <w:numPr>
        <w:numId w:val="8"/>
      </w:numPr>
    </w:pPr>
  </w:style>
  <w:style w:type="paragraph" w:styleId="Listaconnmeros2">
    <w:name w:val="List Number 2"/>
    <w:basedOn w:val="Normal"/>
    <w:rsid w:val="00085600"/>
    <w:pPr>
      <w:numPr>
        <w:numId w:val="9"/>
      </w:numPr>
    </w:pPr>
  </w:style>
  <w:style w:type="paragraph" w:styleId="Listaconnmeros3">
    <w:name w:val="List Number 3"/>
    <w:basedOn w:val="Normal"/>
    <w:rsid w:val="00085600"/>
    <w:pPr>
      <w:numPr>
        <w:numId w:val="10"/>
      </w:numPr>
    </w:pPr>
  </w:style>
  <w:style w:type="paragraph" w:styleId="Listaconnmeros4">
    <w:name w:val="List Number 4"/>
    <w:basedOn w:val="Normal"/>
    <w:rsid w:val="00085600"/>
    <w:pPr>
      <w:numPr>
        <w:numId w:val="11"/>
      </w:numPr>
    </w:pPr>
  </w:style>
  <w:style w:type="paragraph" w:styleId="Listaconnmeros5">
    <w:name w:val="List Number 5"/>
    <w:basedOn w:val="Normal"/>
    <w:rsid w:val="00085600"/>
    <w:pPr>
      <w:numPr>
        <w:numId w:val="12"/>
      </w:numPr>
    </w:pPr>
  </w:style>
  <w:style w:type="paragraph" w:styleId="Listaconvietas">
    <w:name w:val="List Bullet"/>
    <w:basedOn w:val="Normal"/>
    <w:autoRedefine/>
    <w:rsid w:val="00085600"/>
    <w:pPr>
      <w:numPr>
        <w:numId w:val="13"/>
      </w:numPr>
    </w:pPr>
  </w:style>
  <w:style w:type="paragraph" w:styleId="Listaconvietas2">
    <w:name w:val="List Bullet 2"/>
    <w:basedOn w:val="Normal"/>
    <w:autoRedefine/>
    <w:rsid w:val="00085600"/>
    <w:pPr>
      <w:numPr>
        <w:numId w:val="14"/>
      </w:numPr>
    </w:pPr>
  </w:style>
  <w:style w:type="paragraph" w:styleId="Listaconvietas3">
    <w:name w:val="List Bullet 3"/>
    <w:basedOn w:val="Normal"/>
    <w:autoRedefine/>
    <w:rsid w:val="00085600"/>
    <w:pPr>
      <w:numPr>
        <w:numId w:val="15"/>
      </w:numPr>
    </w:pPr>
  </w:style>
  <w:style w:type="paragraph" w:styleId="Listaconvietas4">
    <w:name w:val="List Bullet 4"/>
    <w:basedOn w:val="Normal"/>
    <w:autoRedefine/>
    <w:rsid w:val="00085600"/>
    <w:pPr>
      <w:numPr>
        <w:numId w:val="16"/>
      </w:numPr>
    </w:pPr>
  </w:style>
  <w:style w:type="paragraph" w:styleId="Listaconvietas5">
    <w:name w:val="List Bullet 5"/>
    <w:basedOn w:val="Normal"/>
    <w:autoRedefine/>
    <w:rsid w:val="00085600"/>
    <w:pPr>
      <w:numPr>
        <w:numId w:val="17"/>
      </w:numPr>
    </w:pPr>
  </w:style>
  <w:style w:type="paragraph" w:styleId="Mapadeldocumento">
    <w:name w:val="Document Map"/>
    <w:basedOn w:val="Normal"/>
    <w:semiHidden/>
    <w:rsid w:val="0008560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085600"/>
  </w:style>
  <w:style w:type="paragraph" w:styleId="Remitedesobre">
    <w:name w:val="envelope return"/>
    <w:basedOn w:val="Normal"/>
    <w:rsid w:val="00085600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085600"/>
  </w:style>
  <w:style w:type="paragraph" w:styleId="Sangra2detindependiente">
    <w:name w:val="Body Text Indent 2"/>
    <w:basedOn w:val="Normal"/>
    <w:rsid w:val="0008560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08560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085600"/>
    <w:pPr>
      <w:spacing w:after="120"/>
      <w:ind w:left="283"/>
    </w:pPr>
  </w:style>
  <w:style w:type="paragraph" w:styleId="Sangranormal">
    <w:name w:val="Normal Indent"/>
    <w:basedOn w:val="Normal"/>
    <w:rsid w:val="00085600"/>
    <w:pPr>
      <w:ind w:left="708"/>
    </w:pPr>
  </w:style>
  <w:style w:type="paragraph" w:styleId="Subttulo">
    <w:name w:val="Subtitle"/>
    <w:basedOn w:val="Normal"/>
    <w:qFormat/>
    <w:rsid w:val="00085600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085600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085600"/>
  </w:style>
  <w:style w:type="paragraph" w:styleId="TDC2">
    <w:name w:val="toc 2"/>
    <w:basedOn w:val="Normal"/>
    <w:next w:val="Normal"/>
    <w:autoRedefine/>
    <w:semiHidden/>
    <w:rsid w:val="00085600"/>
    <w:pPr>
      <w:ind w:left="240"/>
    </w:pPr>
  </w:style>
  <w:style w:type="paragraph" w:styleId="TDC3">
    <w:name w:val="toc 3"/>
    <w:basedOn w:val="Normal"/>
    <w:next w:val="Normal"/>
    <w:autoRedefine/>
    <w:semiHidden/>
    <w:rsid w:val="00085600"/>
    <w:pPr>
      <w:ind w:left="480"/>
    </w:pPr>
  </w:style>
  <w:style w:type="paragraph" w:styleId="TDC4">
    <w:name w:val="toc 4"/>
    <w:basedOn w:val="Normal"/>
    <w:next w:val="Normal"/>
    <w:autoRedefine/>
    <w:semiHidden/>
    <w:rsid w:val="00085600"/>
    <w:pPr>
      <w:ind w:left="720"/>
    </w:pPr>
  </w:style>
  <w:style w:type="paragraph" w:styleId="TDC5">
    <w:name w:val="toc 5"/>
    <w:basedOn w:val="Normal"/>
    <w:next w:val="Normal"/>
    <w:autoRedefine/>
    <w:semiHidden/>
    <w:rsid w:val="00085600"/>
    <w:pPr>
      <w:ind w:left="960"/>
    </w:pPr>
  </w:style>
  <w:style w:type="paragraph" w:styleId="TDC6">
    <w:name w:val="toc 6"/>
    <w:basedOn w:val="Normal"/>
    <w:next w:val="Normal"/>
    <w:autoRedefine/>
    <w:semiHidden/>
    <w:rsid w:val="00085600"/>
    <w:pPr>
      <w:ind w:left="1200"/>
    </w:pPr>
  </w:style>
  <w:style w:type="paragraph" w:styleId="TDC7">
    <w:name w:val="toc 7"/>
    <w:basedOn w:val="Normal"/>
    <w:next w:val="Normal"/>
    <w:autoRedefine/>
    <w:semiHidden/>
    <w:rsid w:val="00085600"/>
    <w:pPr>
      <w:ind w:left="1440"/>
    </w:pPr>
  </w:style>
  <w:style w:type="paragraph" w:styleId="TDC8">
    <w:name w:val="toc 8"/>
    <w:basedOn w:val="Normal"/>
    <w:next w:val="Normal"/>
    <w:autoRedefine/>
    <w:semiHidden/>
    <w:rsid w:val="00085600"/>
    <w:pPr>
      <w:ind w:left="1680"/>
    </w:pPr>
  </w:style>
  <w:style w:type="paragraph" w:styleId="TDC9">
    <w:name w:val="toc 9"/>
    <w:basedOn w:val="Normal"/>
    <w:next w:val="Normal"/>
    <w:autoRedefine/>
    <w:semiHidden/>
    <w:rsid w:val="00085600"/>
    <w:pPr>
      <w:ind w:left="1920"/>
    </w:pPr>
  </w:style>
  <w:style w:type="paragraph" w:styleId="Textocomentario">
    <w:name w:val="annotation text"/>
    <w:basedOn w:val="Normal"/>
    <w:link w:val="TextocomentarioCar"/>
    <w:semiHidden/>
    <w:rsid w:val="00085600"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085600"/>
    <w:pPr>
      <w:ind w:left="240" w:hanging="240"/>
    </w:pPr>
  </w:style>
  <w:style w:type="paragraph" w:styleId="Textodebloque">
    <w:name w:val="Block Text"/>
    <w:basedOn w:val="Normal"/>
    <w:rsid w:val="00085600"/>
    <w:pPr>
      <w:spacing w:after="120"/>
      <w:ind w:left="1440" w:right="1440"/>
    </w:pPr>
  </w:style>
  <w:style w:type="paragraph" w:styleId="Textoindependiente3">
    <w:name w:val="Body Text 3"/>
    <w:basedOn w:val="Normal"/>
    <w:rsid w:val="00085600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085600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rsid w:val="00085600"/>
    <w:pPr>
      <w:ind w:firstLine="210"/>
    </w:pPr>
  </w:style>
  <w:style w:type="paragraph" w:styleId="Textomacro">
    <w:name w:val="macro"/>
    <w:semiHidden/>
    <w:rsid w:val="000856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notaalfinal">
    <w:name w:val="endnote text"/>
    <w:basedOn w:val="Normal"/>
    <w:link w:val="TextonotaalfinalCar"/>
    <w:uiPriority w:val="99"/>
    <w:semiHidden/>
    <w:rsid w:val="00085600"/>
    <w:rPr>
      <w:sz w:val="20"/>
      <w:szCs w:val="20"/>
    </w:rPr>
  </w:style>
  <w:style w:type="paragraph" w:styleId="Textonotapie">
    <w:name w:val="footnote text"/>
    <w:basedOn w:val="Normal"/>
    <w:semiHidden/>
    <w:rsid w:val="00085600"/>
    <w:rPr>
      <w:sz w:val="20"/>
      <w:szCs w:val="20"/>
    </w:rPr>
  </w:style>
  <w:style w:type="paragraph" w:styleId="Textosinformato">
    <w:name w:val="Plain Text"/>
    <w:basedOn w:val="Normal"/>
    <w:rsid w:val="00085600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085600"/>
    <w:rPr>
      <w:rFonts w:ascii="Arial" w:hAnsi="Arial" w:cs="Arial"/>
      <w:b/>
      <w:bCs/>
    </w:rPr>
  </w:style>
  <w:style w:type="character" w:styleId="Hipervnculovisitado">
    <w:name w:val="FollowedHyperlink"/>
    <w:basedOn w:val="Fuentedeprrafopredeter"/>
    <w:rsid w:val="00085600"/>
    <w:rPr>
      <w:color w:val="800080"/>
      <w:u w:val="single"/>
    </w:rPr>
  </w:style>
  <w:style w:type="character" w:styleId="Refdenotaalfinal">
    <w:name w:val="endnote reference"/>
    <w:basedOn w:val="Fuentedeprrafopredeter"/>
    <w:uiPriority w:val="99"/>
    <w:semiHidden/>
    <w:rsid w:val="00085600"/>
    <w:rPr>
      <w:vertAlign w:val="superscript"/>
    </w:rPr>
  </w:style>
  <w:style w:type="paragraph" w:customStyle="1" w:styleId="xl24">
    <w:name w:val="xl24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Textodeglobo">
    <w:name w:val="Balloon Text"/>
    <w:basedOn w:val="Normal"/>
    <w:link w:val="TextodegloboCar"/>
    <w:rsid w:val="007C6C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C6CB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74E7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4E7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74E7B"/>
  </w:style>
  <w:style w:type="character" w:customStyle="1" w:styleId="AsuntodelcomentarioCar">
    <w:name w:val="Asunto del comentario Car"/>
    <w:basedOn w:val="TextocomentarioCar"/>
    <w:link w:val="Asuntodelcomentario"/>
    <w:rsid w:val="00F74E7B"/>
  </w:style>
  <w:style w:type="paragraph" w:styleId="Prrafodelista">
    <w:name w:val="List Paragraph"/>
    <w:basedOn w:val="Normal"/>
    <w:uiPriority w:val="34"/>
    <w:qFormat/>
    <w:rsid w:val="002027A7"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B2D81"/>
  </w:style>
  <w:style w:type="character" w:styleId="Refdenotaalpie">
    <w:name w:val="footnote reference"/>
    <w:basedOn w:val="Fuentedeprrafopredeter"/>
    <w:rsid w:val="00E56D1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CB0316"/>
    <w:rPr>
      <w:rFonts w:ascii="Book Antiqua" w:hAnsi="Book Antiqua"/>
      <w:szCs w:val="24"/>
    </w:rPr>
  </w:style>
  <w:style w:type="paragraph" w:customStyle="1" w:styleId="Default">
    <w:name w:val="Default"/>
    <w:rsid w:val="002862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00"/>
    <w:rPr>
      <w:sz w:val="24"/>
      <w:szCs w:val="24"/>
    </w:rPr>
  </w:style>
  <w:style w:type="paragraph" w:styleId="Ttulo1">
    <w:name w:val="heading 1"/>
    <w:basedOn w:val="Normal"/>
    <w:next w:val="Normal"/>
    <w:qFormat/>
    <w:rsid w:val="0008560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85600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0856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856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856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8560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8560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8560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56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85600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085600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085600"/>
    <w:rPr>
      <w:color w:val="0000FF"/>
      <w:u w:val="single"/>
    </w:rPr>
  </w:style>
  <w:style w:type="paragraph" w:styleId="Ttulo">
    <w:name w:val="Title"/>
    <w:basedOn w:val="Normal"/>
    <w:qFormat/>
    <w:rsid w:val="00085600"/>
    <w:pPr>
      <w:widowControl w:val="0"/>
      <w:jc w:val="center"/>
    </w:pPr>
    <w:rPr>
      <w:rFonts w:ascii="Arial" w:hAnsi="Arial"/>
      <w:b/>
      <w:szCs w:val="20"/>
      <w:u w:val="single"/>
      <w:lang w:val="es-ES_tradnl"/>
    </w:rPr>
  </w:style>
  <w:style w:type="paragraph" w:styleId="Textoindependiente2">
    <w:name w:val="Body Text 2"/>
    <w:basedOn w:val="Normal"/>
    <w:rsid w:val="00085600"/>
    <w:pPr>
      <w:widowControl w:val="0"/>
      <w:jc w:val="both"/>
    </w:pPr>
    <w:rPr>
      <w:rFonts w:ascii="Book Antiqua" w:hAnsi="Book Antiqua"/>
      <w:sz w:val="22"/>
      <w:szCs w:val="20"/>
      <w:lang w:val="es-ES_tradnl"/>
    </w:rPr>
  </w:style>
  <w:style w:type="character" w:styleId="Nmerodepgina">
    <w:name w:val="page number"/>
    <w:basedOn w:val="Fuentedeprrafopredeter"/>
    <w:rsid w:val="00085600"/>
  </w:style>
  <w:style w:type="paragraph" w:styleId="Textoindependiente">
    <w:name w:val="Body Text"/>
    <w:basedOn w:val="Normal"/>
    <w:link w:val="TextoindependienteCar"/>
    <w:rsid w:val="00085600"/>
    <w:pPr>
      <w:jc w:val="both"/>
    </w:pPr>
    <w:rPr>
      <w:rFonts w:ascii="Book Antiqua" w:hAnsi="Book Antiqua"/>
      <w:sz w:val="20"/>
    </w:rPr>
  </w:style>
  <w:style w:type="paragraph" w:styleId="Cierre">
    <w:name w:val="Closing"/>
    <w:basedOn w:val="Normal"/>
    <w:rsid w:val="00085600"/>
    <w:pPr>
      <w:ind w:left="4252"/>
    </w:pPr>
  </w:style>
  <w:style w:type="paragraph" w:styleId="Continuarlista">
    <w:name w:val="List Continue"/>
    <w:basedOn w:val="Normal"/>
    <w:rsid w:val="00085600"/>
    <w:pPr>
      <w:spacing w:after="120"/>
      <w:ind w:left="283"/>
    </w:pPr>
  </w:style>
  <w:style w:type="paragraph" w:styleId="Continuarlista2">
    <w:name w:val="List Continue 2"/>
    <w:basedOn w:val="Normal"/>
    <w:rsid w:val="00085600"/>
    <w:pPr>
      <w:spacing w:after="120"/>
      <w:ind w:left="566"/>
    </w:pPr>
  </w:style>
  <w:style w:type="paragraph" w:styleId="Continuarlista3">
    <w:name w:val="List Continue 3"/>
    <w:basedOn w:val="Normal"/>
    <w:rsid w:val="00085600"/>
    <w:pPr>
      <w:spacing w:after="120"/>
      <w:ind w:left="849"/>
    </w:pPr>
  </w:style>
  <w:style w:type="paragraph" w:styleId="Continuarlista4">
    <w:name w:val="List Continue 4"/>
    <w:basedOn w:val="Normal"/>
    <w:rsid w:val="00085600"/>
    <w:pPr>
      <w:spacing w:after="120"/>
      <w:ind w:left="1132"/>
    </w:pPr>
  </w:style>
  <w:style w:type="paragraph" w:styleId="Continuarlista5">
    <w:name w:val="List Continue 5"/>
    <w:basedOn w:val="Normal"/>
    <w:rsid w:val="00085600"/>
    <w:pPr>
      <w:spacing w:after="120"/>
      <w:ind w:left="1415"/>
    </w:pPr>
  </w:style>
  <w:style w:type="paragraph" w:styleId="DireccinHTML">
    <w:name w:val="HTML Address"/>
    <w:basedOn w:val="Normal"/>
    <w:rsid w:val="00085600"/>
    <w:rPr>
      <w:i/>
      <w:iCs/>
    </w:rPr>
  </w:style>
  <w:style w:type="paragraph" w:styleId="Direccinsobre">
    <w:name w:val="envelope address"/>
    <w:basedOn w:val="Normal"/>
    <w:rsid w:val="0008560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085600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0856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085600"/>
  </w:style>
  <w:style w:type="paragraph" w:styleId="Epgrafe">
    <w:name w:val="caption"/>
    <w:basedOn w:val="Normal"/>
    <w:next w:val="Normal"/>
    <w:qFormat/>
    <w:rsid w:val="00085600"/>
    <w:pPr>
      <w:spacing w:before="120" w:after="120"/>
    </w:pPr>
    <w:rPr>
      <w:b/>
      <w:bCs/>
      <w:sz w:val="20"/>
      <w:szCs w:val="20"/>
    </w:rPr>
  </w:style>
  <w:style w:type="paragraph" w:styleId="Fecha">
    <w:name w:val="Date"/>
    <w:basedOn w:val="Normal"/>
    <w:next w:val="Normal"/>
    <w:rsid w:val="00085600"/>
  </w:style>
  <w:style w:type="paragraph" w:styleId="Firma">
    <w:name w:val="Signature"/>
    <w:basedOn w:val="Normal"/>
    <w:rsid w:val="00085600"/>
    <w:pPr>
      <w:ind w:left="4252"/>
    </w:pPr>
  </w:style>
  <w:style w:type="paragraph" w:styleId="Firmadecorreoelectrnico">
    <w:name w:val="E-mail Signature"/>
    <w:basedOn w:val="Normal"/>
    <w:rsid w:val="00085600"/>
  </w:style>
  <w:style w:type="paragraph" w:styleId="HTMLconformatoprevio">
    <w:name w:val="HTML Preformatted"/>
    <w:basedOn w:val="Normal"/>
    <w:rsid w:val="00085600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85600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085600"/>
    <w:pPr>
      <w:ind w:left="480" w:hanging="240"/>
    </w:pPr>
    <w:rPr>
      <w:i/>
      <w:iCs/>
      <w:sz w:val="20"/>
      <w:u w:val="single"/>
    </w:rPr>
  </w:style>
  <w:style w:type="paragraph" w:styleId="ndice3">
    <w:name w:val="index 3"/>
    <w:basedOn w:val="Normal"/>
    <w:next w:val="Normal"/>
    <w:autoRedefine/>
    <w:semiHidden/>
    <w:rsid w:val="00085600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085600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085600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085600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085600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085600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085600"/>
    <w:pPr>
      <w:ind w:left="2160" w:hanging="240"/>
    </w:pPr>
  </w:style>
  <w:style w:type="paragraph" w:styleId="Lista">
    <w:name w:val="List"/>
    <w:basedOn w:val="Normal"/>
    <w:rsid w:val="00085600"/>
    <w:pPr>
      <w:ind w:left="283" w:hanging="283"/>
    </w:pPr>
  </w:style>
  <w:style w:type="paragraph" w:styleId="Lista2">
    <w:name w:val="List 2"/>
    <w:basedOn w:val="Normal"/>
    <w:rsid w:val="00085600"/>
    <w:pPr>
      <w:ind w:left="566" w:hanging="283"/>
    </w:pPr>
  </w:style>
  <w:style w:type="paragraph" w:styleId="Lista3">
    <w:name w:val="List 3"/>
    <w:basedOn w:val="Normal"/>
    <w:rsid w:val="00085600"/>
    <w:pPr>
      <w:ind w:left="849" w:hanging="283"/>
    </w:pPr>
  </w:style>
  <w:style w:type="paragraph" w:styleId="Lista4">
    <w:name w:val="List 4"/>
    <w:basedOn w:val="Normal"/>
    <w:rsid w:val="00085600"/>
    <w:pPr>
      <w:ind w:left="1132" w:hanging="283"/>
    </w:pPr>
  </w:style>
  <w:style w:type="paragraph" w:styleId="Lista5">
    <w:name w:val="List 5"/>
    <w:basedOn w:val="Normal"/>
    <w:rsid w:val="00085600"/>
    <w:pPr>
      <w:ind w:left="1415" w:hanging="283"/>
    </w:pPr>
  </w:style>
  <w:style w:type="paragraph" w:styleId="Listaconnmeros">
    <w:name w:val="List Number"/>
    <w:basedOn w:val="Normal"/>
    <w:rsid w:val="00085600"/>
    <w:pPr>
      <w:numPr>
        <w:numId w:val="8"/>
      </w:numPr>
    </w:pPr>
  </w:style>
  <w:style w:type="paragraph" w:styleId="Listaconnmeros2">
    <w:name w:val="List Number 2"/>
    <w:basedOn w:val="Normal"/>
    <w:rsid w:val="00085600"/>
    <w:pPr>
      <w:numPr>
        <w:numId w:val="9"/>
      </w:numPr>
    </w:pPr>
  </w:style>
  <w:style w:type="paragraph" w:styleId="Listaconnmeros3">
    <w:name w:val="List Number 3"/>
    <w:basedOn w:val="Normal"/>
    <w:rsid w:val="00085600"/>
    <w:pPr>
      <w:numPr>
        <w:numId w:val="10"/>
      </w:numPr>
    </w:pPr>
  </w:style>
  <w:style w:type="paragraph" w:styleId="Listaconnmeros4">
    <w:name w:val="List Number 4"/>
    <w:basedOn w:val="Normal"/>
    <w:rsid w:val="00085600"/>
    <w:pPr>
      <w:numPr>
        <w:numId w:val="11"/>
      </w:numPr>
    </w:pPr>
  </w:style>
  <w:style w:type="paragraph" w:styleId="Listaconnmeros5">
    <w:name w:val="List Number 5"/>
    <w:basedOn w:val="Normal"/>
    <w:rsid w:val="00085600"/>
    <w:pPr>
      <w:numPr>
        <w:numId w:val="12"/>
      </w:numPr>
    </w:pPr>
  </w:style>
  <w:style w:type="paragraph" w:styleId="Listaconvietas">
    <w:name w:val="List Bullet"/>
    <w:basedOn w:val="Normal"/>
    <w:autoRedefine/>
    <w:rsid w:val="00085600"/>
    <w:pPr>
      <w:numPr>
        <w:numId w:val="13"/>
      </w:numPr>
    </w:pPr>
  </w:style>
  <w:style w:type="paragraph" w:styleId="Listaconvietas2">
    <w:name w:val="List Bullet 2"/>
    <w:basedOn w:val="Normal"/>
    <w:autoRedefine/>
    <w:rsid w:val="00085600"/>
    <w:pPr>
      <w:numPr>
        <w:numId w:val="14"/>
      </w:numPr>
    </w:pPr>
  </w:style>
  <w:style w:type="paragraph" w:styleId="Listaconvietas3">
    <w:name w:val="List Bullet 3"/>
    <w:basedOn w:val="Normal"/>
    <w:autoRedefine/>
    <w:rsid w:val="00085600"/>
    <w:pPr>
      <w:numPr>
        <w:numId w:val="15"/>
      </w:numPr>
    </w:pPr>
  </w:style>
  <w:style w:type="paragraph" w:styleId="Listaconvietas4">
    <w:name w:val="List Bullet 4"/>
    <w:basedOn w:val="Normal"/>
    <w:autoRedefine/>
    <w:rsid w:val="00085600"/>
    <w:pPr>
      <w:numPr>
        <w:numId w:val="16"/>
      </w:numPr>
    </w:pPr>
  </w:style>
  <w:style w:type="paragraph" w:styleId="Listaconvietas5">
    <w:name w:val="List Bullet 5"/>
    <w:basedOn w:val="Normal"/>
    <w:autoRedefine/>
    <w:rsid w:val="00085600"/>
    <w:pPr>
      <w:numPr>
        <w:numId w:val="17"/>
      </w:numPr>
    </w:pPr>
  </w:style>
  <w:style w:type="paragraph" w:styleId="Mapadeldocumento">
    <w:name w:val="Document Map"/>
    <w:basedOn w:val="Normal"/>
    <w:semiHidden/>
    <w:rsid w:val="0008560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085600"/>
  </w:style>
  <w:style w:type="paragraph" w:styleId="Remitedesobre">
    <w:name w:val="envelope return"/>
    <w:basedOn w:val="Normal"/>
    <w:rsid w:val="00085600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085600"/>
  </w:style>
  <w:style w:type="paragraph" w:styleId="Sangra2detindependiente">
    <w:name w:val="Body Text Indent 2"/>
    <w:basedOn w:val="Normal"/>
    <w:rsid w:val="0008560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08560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085600"/>
    <w:pPr>
      <w:spacing w:after="120"/>
      <w:ind w:left="283"/>
    </w:pPr>
  </w:style>
  <w:style w:type="paragraph" w:styleId="Sangranormal">
    <w:name w:val="Normal Indent"/>
    <w:basedOn w:val="Normal"/>
    <w:rsid w:val="00085600"/>
    <w:pPr>
      <w:ind w:left="708"/>
    </w:pPr>
  </w:style>
  <w:style w:type="paragraph" w:styleId="Subttulo">
    <w:name w:val="Subtitle"/>
    <w:basedOn w:val="Normal"/>
    <w:qFormat/>
    <w:rsid w:val="00085600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085600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085600"/>
  </w:style>
  <w:style w:type="paragraph" w:styleId="TDC2">
    <w:name w:val="toc 2"/>
    <w:basedOn w:val="Normal"/>
    <w:next w:val="Normal"/>
    <w:autoRedefine/>
    <w:semiHidden/>
    <w:rsid w:val="00085600"/>
    <w:pPr>
      <w:ind w:left="240"/>
    </w:pPr>
  </w:style>
  <w:style w:type="paragraph" w:styleId="TDC3">
    <w:name w:val="toc 3"/>
    <w:basedOn w:val="Normal"/>
    <w:next w:val="Normal"/>
    <w:autoRedefine/>
    <w:semiHidden/>
    <w:rsid w:val="00085600"/>
    <w:pPr>
      <w:ind w:left="480"/>
    </w:pPr>
  </w:style>
  <w:style w:type="paragraph" w:styleId="TDC4">
    <w:name w:val="toc 4"/>
    <w:basedOn w:val="Normal"/>
    <w:next w:val="Normal"/>
    <w:autoRedefine/>
    <w:semiHidden/>
    <w:rsid w:val="00085600"/>
    <w:pPr>
      <w:ind w:left="720"/>
    </w:pPr>
  </w:style>
  <w:style w:type="paragraph" w:styleId="TDC5">
    <w:name w:val="toc 5"/>
    <w:basedOn w:val="Normal"/>
    <w:next w:val="Normal"/>
    <w:autoRedefine/>
    <w:semiHidden/>
    <w:rsid w:val="00085600"/>
    <w:pPr>
      <w:ind w:left="960"/>
    </w:pPr>
  </w:style>
  <w:style w:type="paragraph" w:styleId="TDC6">
    <w:name w:val="toc 6"/>
    <w:basedOn w:val="Normal"/>
    <w:next w:val="Normal"/>
    <w:autoRedefine/>
    <w:semiHidden/>
    <w:rsid w:val="00085600"/>
    <w:pPr>
      <w:ind w:left="1200"/>
    </w:pPr>
  </w:style>
  <w:style w:type="paragraph" w:styleId="TDC7">
    <w:name w:val="toc 7"/>
    <w:basedOn w:val="Normal"/>
    <w:next w:val="Normal"/>
    <w:autoRedefine/>
    <w:semiHidden/>
    <w:rsid w:val="00085600"/>
    <w:pPr>
      <w:ind w:left="1440"/>
    </w:pPr>
  </w:style>
  <w:style w:type="paragraph" w:styleId="TDC8">
    <w:name w:val="toc 8"/>
    <w:basedOn w:val="Normal"/>
    <w:next w:val="Normal"/>
    <w:autoRedefine/>
    <w:semiHidden/>
    <w:rsid w:val="00085600"/>
    <w:pPr>
      <w:ind w:left="1680"/>
    </w:pPr>
  </w:style>
  <w:style w:type="paragraph" w:styleId="TDC9">
    <w:name w:val="toc 9"/>
    <w:basedOn w:val="Normal"/>
    <w:next w:val="Normal"/>
    <w:autoRedefine/>
    <w:semiHidden/>
    <w:rsid w:val="00085600"/>
    <w:pPr>
      <w:ind w:left="1920"/>
    </w:pPr>
  </w:style>
  <w:style w:type="paragraph" w:styleId="Textocomentario">
    <w:name w:val="annotation text"/>
    <w:basedOn w:val="Normal"/>
    <w:link w:val="TextocomentarioCar"/>
    <w:semiHidden/>
    <w:rsid w:val="00085600"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085600"/>
    <w:pPr>
      <w:ind w:left="240" w:hanging="240"/>
    </w:pPr>
  </w:style>
  <w:style w:type="paragraph" w:styleId="Textodebloque">
    <w:name w:val="Block Text"/>
    <w:basedOn w:val="Normal"/>
    <w:rsid w:val="00085600"/>
    <w:pPr>
      <w:spacing w:after="120"/>
      <w:ind w:left="1440" w:right="1440"/>
    </w:pPr>
  </w:style>
  <w:style w:type="paragraph" w:styleId="Textoindependiente3">
    <w:name w:val="Body Text 3"/>
    <w:basedOn w:val="Normal"/>
    <w:rsid w:val="00085600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085600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rsid w:val="00085600"/>
    <w:pPr>
      <w:ind w:firstLine="210"/>
    </w:pPr>
  </w:style>
  <w:style w:type="paragraph" w:styleId="Textomacro">
    <w:name w:val="macro"/>
    <w:semiHidden/>
    <w:rsid w:val="000856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notaalfinal">
    <w:name w:val="endnote text"/>
    <w:basedOn w:val="Normal"/>
    <w:link w:val="TextonotaalfinalCar"/>
    <w:uiPriority w:val="99"/>
    <w:semiHidden/>
    <w:rsid w:val="00085600"/>
    <w:rPr>
      <w:sz w:val="20"/>
      <w:szCs w:val="20"/>
    </w:rPr>
  </w:style>
  <w:style w:type="paragraph" w:styleId="Textonotapie">
    <w:name w:val="footnote text"/>
    <w:basedOn w:val="Normal"/>
    <w:semiHidden/>
    <w:rsid w:val="00085600"/>
    <w:rPr>
      <w:sz w:val="20"/>
      <w:szCs w:val="20"/>
    </w:rPr>
  </w:style>
  <w:style w:type="paragraph" w:styleId="Textosinformato">
    <w:name w:val="Plain Text"/>
    <w:basedOn w:val="Normal"/>
    <w:rsid w:val="00085600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085600"/>
    <w:rPr>
      <w:rFonts w:ascii="Arial" w:hAnsi="Arial" w:cs="Arial"/>
      <w:b/>
      <w:bCs/>
    </w:rPr>
  </w:style>
  <w:style w:type="character" w:styleId="Hipervnculovisitado">
    <w:name w:val="FollowedHyperlink"/>
    <w:basedOn w:val="Fuentedeprrafopredeter"/>
    <w:rsid w:val="00085600"/>
    <w:rPr>
      <w:color w:val="800080"/>
      <w:u w:val="single"/>
    </w:rPr>
  </w:style>
  <w:style w:type="character" w:styleId="Refdenotaalfinal">
    <w:name w:val="endnote reference"/>
    <w:basedOn w:val="Fuentedeprrafopredeter"/>
    <w:uiPriority w:val="99"/>
    <w:semiHidden/>
    <w:rsid w:val="00085600"/>
    <w:rPr>
      <w:vertAlign w:val="superscript"/>
    </w:rPr>
  </w:style>
  <w:style w:type="paragraph" w:customStyle="1" w:styleId="xl24">
    <w:name w:val="xl24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Textodeglobo">
    <w:name w:val="Balloon Text"/>
    <w:basedOn w:val="Normal"/>
    <w:link w:val="TextodegloboCar"/>
    <w:rsid w:val="007C6C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C6CB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74E7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4E7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74E7B"/>
  </w:style>
  <w:style w:type="character" w:customStyle="1" w:styleId="AsuntodelcomentarioCar">
    <w:name w:val="Asunto del comentario Car"/>
    <w:basedOn w:val="TextocomentarioCar"/>
    <w:link w:val="Asuntodelcomentario"/>
    <w:rsid w:val="00F74E7B"/>
  </w:style>
  <w:style w:type="paragraph" w:styleId="Prrafodelista">
    <w:name w:val="List Paragraph"/>
    <w:basedOn w:val="Normal"/>
    <w:uiPriority w:val="34"/>
    <w:qFormat/>
    <w:rsid w:val="002027A7"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B2D81"/>
  </w:style>
  <w:style w:type="character" w:styleId="Refdenotaalpie">
    <w:name w:val="footnote reference"/>
    <w:basedOn w:val="Fuentedeprrafopredeter"/>
    <w:rsid w:val="00E56D1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CB0316"/>
    <w:rPr>
      <w:rFonts w:ascii="Book Antiqua" w:hAnsi="Book Antiqua"/>
      <w:szCs w:val="24"/>
    </w:rPr>
  </w:style>
  <w:style w:type="paragraph" w:customStyle="1" w:styleId="Default">
    <w:name w:val="Default"/>
    <w:rsid w:val="002862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ernapesca.cl/informacion-utilidad/consumo-de-cuota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memorandum%20SS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DC12-EC8E-4281-805B-3B1370DC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SSP</Template>
  <TotalTime>1</TotalTime>
  <Pages>8</Pages>
  <Words>2503</Words>
  <Characters>13772</Characters>
  <Application>Microsoft Office Word</Application>
  <DocSecurity>4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SUBSECRETARIA DE PESCA</Company>
  <LinksUpToDate>false</LinksUpToDate>
  <CharactersWithSpaces>16243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SUBSECRETARIA DE PESCA</dc:creator>
  <cp:keywords>Merluza de tres aletas</cp:keywords>
  <cp:lastModifiedBy>Maria Vergara</cp:lastModifiedBy>
  <cp:revision>2</cp:revision>
  <cp:lastPrinted>2021-07-06T15:12:00Z</cp:lastPrinted>
  <dcterms:created xsi:type="dcterms:W3CDTF">2021-07-21T18:51:00Z</dcterms:created>
  <dcterms:modified xsi:type="dcterms:W3CDTF">2021-07-21T18:51:00Z</dcterms:modified>
</cp:coreProperties>
</file>