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EA" w:rsidRPr="000C1AA7" w:rsidRDefault="00AF29EA" w:rsidP="00AF29EA">
      <w:pPr>
        <w:pStyle w:val="Prrafodelista"/>
        <w:jc w:val="both"/>
        <w:rPr>
          <w:rFonts w:ascii="gobCL" w:hAnsi="gobCL"/>
          <w:b/>
          <w:u w:val="single"/>
        </w:rPr>
      </w:pPr>
      <w:r w:rsidRPr="000C1AA7">
        <w:rPr>
          <w:rFonts w:ascii="gobCL" w:hAnsi="gobCL"/>
          <w:b/>
          <w:u w:val="single"/>
        </w:rPr>
        <w:t xml:space="preserve">ACLARACIONES </w:t>
      </w:r>
      <w:r>
        <w:rPr>
          <w:rFonts w:ascii="gobCL" w:hAnsi="gobCL"/>
          <w:b/>
          <w:u w:val="single"/>
        </w:rPr>
        <w:t>A BASES ADMINISTRATIVAS SUBASTA PERMISOS EXTRAORDINARIOS DE PESCA</w:t>
      </w:r>
    </w:p>
    <w:p w:rsidR="00AF29EA" w:rsidRPr="000C1AA7" w:rsidRDefault="00AF29EA" w:rsidP="00AF29EA">
      <w:pPr>
        <w:pStyle w:val="Prrafodelista"/>
        <w:jc w:val="both"/>
        <w:rPr>
          <w:rFonts w:ascii="gobCL" w:hAnsi="gobCL"/>
          <w:b/>
        </w:rPr>
      </w:pPr>
    </w:p>
    <w:p w:rsidR="00AF29EA" w:rsidRPr="000C1AA7" w:rsidRDefault="00AF29EA" w:rsidP="00AF29EA">
      <w:pPr>
        <w:ind w:left="708"/>
        <w:jc w:val="both"/>
        <w:rPr>
          <w:rFonts w:ascii="gobCL" w:hAnsi="gobCL"/>
        </w:rPr>
      </w:pPr>
      <w:r w:rsidRPr="000C1AA7">
        <w:rPr>
          <w:rFonts w:ascii="gobCL" w:hAnsi="gobCL"/>
          <w:b/>
        </w:rPr>
        <w:t xml:space="preserve">Aclaraciones a las bases dirigidas al correo electrónico </w:t>
      </w:r>
      <w:hyperlink r:id="rId6" w:history="1">
        <w:r w:rsidRPr="000C1AA7">
          <w:rPr>
            <w:rFonts w:ascii="gobCL" w:hAnsi="gobCL"/>
            <w:b/>
          </w:rPr>
          <w:t>subastapublica@subpesca.cl</w:t>
        </w:r>
      </w:hyperlink>
      <w:r w:rsidRPr="000C1AA7">
        <w:rPr>
          <w:rFonts w:ascii="gobCL" w:hAnsi="gobCL"/>
          <w:b/>
        </w:rPr>
        <w:t xml:space="preserve"> a la fecha de 2</w:t>
      </w:r>
      <w:r w:rsidR="000E375B">
        <w:rPr>
          <w:rFonts w:ascii="gobCL" w:hAnsi="gobCL"/>
          <w:b/>
        </w:rPr>
        <w:t>5</w:t>
      </w:r>
      <w:r w:rsidRPr="000C1AA7">
        <w:rPr>
          <w:rFonts w:ascii="gobCL" w:hAnsi="gobCL"/>
          <w:b/>
        </w:rPr>
        <w:t xml:space="preserve"> noviembre de 2020, según el orden de llegada y dentro del plazo de 3 días hábiles administrativos</w:t>
      </w:r>
      <w:r>
        <w:rPr>
          <w:rFonts w:ascii="gobCL" w:hAnsi="gobCL"/>
          <w:b/>
        </w:rPr>
        <w:t>.</w:t>
      </w:r>
    </w:p>
    <w:p w:rsidR="000E375B" w:rsidRPr="00992C1B" w:rsidRDefault="000E375B" w:rsidP="000E375B">
      <w:pPr>
        <w:ind w:left="708"/>
        <w:jc w:val="both"/>
        <w:rPr>
          <w:rFonts w:ascii="gobCL" w:hAnsi="gobCL"/>
        </w:rPr>
      </w:pPr>
      <w:r w:rsidRPr="00992C1B">
        <w:rPr>
          <w:rFonts w:ascii="gobCL" w:hAnsi="gobCL"/>
        </w:rPr>
        <w:t xml:space="preserve">1.- La embarcación que extraiga cuota </w:t>
      </w:r>
      <w:proofErr w:type="spellStart"/>
      <w:r w:rsidRPr="00992C1B">
        <w:rPr>
          <w:rFonts w:ascii="gobCL" w:hAnsi="gobCL"/>
        </w:rPr>
        <w:t>PEP</w:t>
      </w:r>
      <w:proofErr w:type="spellEnd"/>
      <w:r w:rsidRPr="00992C1B">
        <w:rPr>
          <w:rFonts w:ascii="gobCL" w:hAnsi="gobCL"/>
        </w:rPr>
        <w:t xml:space="preserve"> Bacalao de un titular debe estar inscrita en </w:t>
      </w:r>
      <w:proofErr w:type="spellStart"/>
      <w:r w:rsidRPr="00992C1B">
        <w:rPr>
          <w:rFonts w:ascii="gobCL" w:hAnsi="gobCL"/>
        </w:rPr>
        <w:t>RPA</w:t>
      </w:r>
      <w:proofErr w:type="spellEnd"/>
      <w:r w:rsidRPr="00992C1B">
        <w:rPr>
          <w:rFonts w:ascii="gobCL" w:hAnsi="gobCL"/>
        </w:rPr>
        <w:t xml:space="preserve"> y si debe tener inscrito el recurso bacalao</w:t>
      </w:r>
      <w:proofErr w:type="gramStart"/>
      <w:r w:rsidRPr="00992C1B">
        <w:rPr>
          <w:rFonts w:ascii="gobCL" w:hAnsi="gobCL"/>
        </w:rPr>
        <w:t>?</w:t>
      </w:r>
      <w:proofErr w:type="gramEnd"/>
    </w:p>
    <w:p w:rsidR="000E375B" w:rsidRPr="009043C0" w:rsidRDefault="000E375B" w:rsidP="000E375B">
      <w:pPr>
        <w:ind w:left="708"/>
        <w:jc w:val="both"/>
        <w:rPr>
          <w:rFonts w:ascii="gobCL" w:hAnsi="gobCL"/>
          <w:b/>
          <w:color w:val="1F497D" w:themeColor="text2"/>
          <w:lang w:val="es-ES_tradnl"/>
        </w:rPr>
      </w:pPr>
      <w:r w:rsidRPr="009043C0">
        <w:rPr>
          <w:rFonts w:ascii="gobCL" w:hAnsi="gobCL"/>
          <w:b/>
          <w:color w:val="1F497D" w:themeColor="text2"/>
          <w:lang w:val="es-ES_tradnl"/>
        </w:rPr>
        <w:t xml:space="preserve">No es necesario que la embarcación o nave tenga inscrito el recurso bacalao. El titular </w:t>
      </w:r>
      <w:proofErr w:type="spellStart"/>
      <w:r w:rsidRPr="009043C0">
        <w:rPr>
          <w:rFonts w:ascii="gobCL" w:hAnsi="gobCL"/>
          <w:b/>
          <w:color w:val="1F497D" w:themeColor="text2"/>
          <w:lang w:val="es-ES_tradnl"/>
        </w:rPr>
        <w:t>PEP</w:t>
      </w:r>
      <w:proofErr w:type="spellEnd"/>
      <w:r w:rsidRPr="009043C0">
        <w:rPr>
          <w:rFonts w:ascii="gobCL" w:hAnsi="gobCL"/>
          <w:b/>
          <w:color w:val="1F497D" w:themeColor="text2"/>
          <w:lang w:val="es-ES_tradnl"/>
        </w:rPr>
        <w:t xml:space="preserve"> puede capturar con cualquier nave previa inscripción en el Registro de Naves que lleva el Servicio Nacional de Pesca y Acuicultura, a que alude el artículo 29 de la Ley General de Pesca y Acuicultura. Esto para la subasta de </w:t>
      </w:r>
      <w:proofErr w:type="spellStart"/>
      <w:r w:rsidRPr="009043C0">
        <w:rPr>
          <w:rFonts w:ascii="gobCL" w:hAnsi="gobCL"/>
          <w:b/>
          <w:color w:val="1F497D" w:themeColor="text2"/>
          <w:lang w:val="es-ES_tradnl"/>
        </w:rPr>
        <w:t>PEP</w:t>
      </w:r>
      <w:proofErr w:type="spellEnd"/>
      <w:r w:rsidRPr="009043C0">
        <w:rPr>
          <w:rFonts w:ascii="gobCL" w:hAnsi="gobCL"/>
          <w:b/>
          <w:color w:val="1F497D" w:themeColor="text2"/>
          <w:lang w:val="es-ES_tradnl"/>
        </w:rPr>
        <w:t xml:space="preserve"> bacalao ordinario</w:t>
      </w:r>
      <w:r>
        <w:rPr>
          <w:rFonts w:ascii="gobCL" w:hAnsi="gobCL"/>
          <w:b/>
          <w:color w:val="1F497D" w:themeColor="text2"/>
          <w:lang w:val="es-ES_tradnl"/>
        </w:rPr>
        <w:t>.</w:t>
      </w:r>
    </w:p>
    <w:p w:rsidR="000E375B" w:rsidRPr="009043C0" w:rsidRDefault="000E375B" w:rsidP="000E375B">
      <w:pPr>
        <w:ind w:left="708"/>
        <w:jc w:val="both"/>
        <w:rPr>
          <w:rFonts w:ascii="gobCL" w:hAnsi="gobCL"/>
          <w:b/>
          <w:color w:val="1F497D" w:themeColor="text2"/>
          <w:lang w:val="es-ES_tradnl"/>
        </w:rPr>
      </w:pPr>
      <w:r w:rsidRPr="009043C0">
        <w:rPr>
          <w:rFonts w:ascii="gobCL" w:hAnsi="gobCL"/>
          <w:b/>
          <w:color w:val="1F497D" w:themeColor="text2"/>
          <w:lang w:val="es-ES_tradnl"/>
        </w:rPr>
        <w:t xml:space="preserve">Por otro lado en los </w:t>
      </w:r>
      <w:proofErr w:type="spellStart"/>
      <w:r w:rsidRPr="009043C0">
        <w:rPr>
          <w:rFonts w:ascii="gobCL" w:hAnsi="gobCL"/>
          <w:b/>
          <w:color w:val="1F497D" w:themeColor="text2"/>
          <w:lang w:val="es-ES_tradnl"/>
        </w:rPr>
        <w:t>PEP</w:t>
      </w:r>
      <w:proofErr w:type="spellEnd"/>
      <w:r w:rsidRPr="009043C0">
        <w:rPr>
          <w:rFonts w:ascii="gobCL" w:hAnsi="gobCL"/>
          <w:b/>
          <w:color w:val="1F497D" w:themeColor="text2"/>
          <w:lang w:val="es-ES_tradnl"/>
        </w:rPr>
        <w:t xml:space="preserve"> artesanal</w:t>
      </w:r>
      <w:r w:rsidRPr="009043C0">
        <w:rPr>
          <w:rFonts w:ascii="gobCL" w:eastAsia="Times New Roman" w:hAnsi="gobCL" w:cs="Arial"/>
          <w:b/>
          <w:color w:val="1F497D" w:themeColor="text2"/>
          <w:lang w:val="es-ES_tradnl" w:eastAsia="es-ES"/>
        </w:rPr>
        <w:t xml:space="preserve">, de conformidad a lo dispuesto en los artículos 18 D y 18 G, del Reglamento, solo pueden participar en las subastas </w:t>
      </w:r>
      <w:proofErr w:type="gramStart"/>
      <w:r w:rsidRPr="009043C0">
        <w:rPr>
          <w:rFonts w:ascii="gobCL" w:eastAsia="Times New Roman" w:hAnsi="gobCL" w:cs="Arial"/>
          <w:b/>
          <w:color w:val="1F497D" w:themeColor="text2"/>
          <w:lang w:val="es-ES_tradnl" w:eastAsia="es-ES"/>
        </w:rPr>
        <w:t>aquellos</w:t>
      </w:r>
      <w:proofErr w:type="gramEnd"/>
      <w:r w:rsidRPr="009043C0">
        <w:rPr>
          <w:rFonts w:ascii="gobCL" w:eastAsia="Times New Roman" w:hAnsi="gobCL" w:cs="Arial"/>
          <w:b/>
          <w:color w:val="1F497D" w:themeColor="text2"/>
          <w:lang w:val="es-ES_tradnl" w:eastAsia="es-ES"/>
        </w:rPr>
        <w:t xml:space="preserve"> que se encuentren inscritos en las siguientes categorías:</w:t>
      </w:r>
    </w:p>
    <w:p w:rsidR="000E375B" w:rsidRPr="009043C0" w:rsidRDefault="000E375B" w:rsidP="000E375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obCL" w:eastAsia="Times New Roman" w:hAnsi="gobCL" w:cs="Arial"/>
          <w:b/>
          <w:color w:val="1F497D" w:themeColor="text2"/>
          <w:lang w:val="es-ES_tradnl" w:eastAsia="es-ES"/>
        </w:rPr>
      </w:pPr>
      <w:r w:rsidRPr="009043C0">
        <w:rPr>
          <w:rFonts w:ascii="gobCL" w:eastAsia="Calibri" w:hAnsi="gobCL" w:cs="Arial"/>
          <w:b/>
          <w:color w:val="1F497D" w:themeColor="text2"/>
          <w:lang w:val="es-ES_tradnl"/>
        </w:rPr>
        <w:t>Armadores artesanales inscritos en el Registro Pesquero Artesanal de Bacalao de profundidad.</w:t>
      </w:r>
    </w:p>
    <w:p w:rsidR="000E375B" w:rsidRPr="009043C0" w:rsidRDefault="000E375B" w:rsidP="000E375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obCL" w:eastAsia="Times New Roman" w:hAnsi="gobCL" w:cs="Arial"/>
          <w:b/>
          <w:color w:val="1F497D" w:themeColor="text2"/>
          <w:lang w:val="es-ES_tradnl" w:eastAsia="es-ES"/>
        </w:rPr>
      </w:pPr>
      <w:r w:rsidRPr="009043C0">
        <w:rPr>
          <w:rFonts w:ascii="gobCL" w:eastAsia="Calibri" w:hAnsi="gobCL" w:cs="Arial"/>
          <w:b/>
          <w:color w:val="1F497D" w:themeColor="text2"/>
          <w:lang w:val="es-ES_tradnl"/>
        </w:rPr>
        <w:t>Pescadores artesanales inscritos en el Registro Pesquero Artesanal de las Regiones de Aysén del General Carlos Ibáñez del Campo y de Magallanes y la Antártica Chilena.</w:t>
      </w:r>
    </w:p>
    <w:p w:rsidR="000E375B" w:rsidRPr="009043C0" w:rsidRDefault="000E375B" w:rsidP="000E375B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obCL" w:eastAsia="Calibri" w:hAnsi="gobCL" w:cs="Arial"/>
          <w:b/>
          <w:color w:val="1F497D" w:themeColor="text2"/>
          <w:lang w:val="es-ES_tradnl"/>
        </w:rPr>
      </w:pPr>
    </w:p>
    <w:p w:rsidR="000E375B" w:rsidRPr="009043C0" w:rsidRDefault="000E375B" w:rsidP="000E37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contextualSpacing/>
        <w:jc w:val="both"/>
        <w:textAlignment w:val="baseline"/>
        <w:rPr>
          <w:rFonts w:ascii="gobCL" w:hAnsi="gobCL"/>
          <w:b/>
          <w:bCs/>
          <w:color w:val="1F497D" w:themeColor="text2"/>
          <w:lang w:eastAsia="es-CL"/>
        </w:rPr>
      </w:pPr>
      <w:r w:rsidRPr="009043C0">
        <w:rPr>
          <w:rFonts w:ascii="gobCL" w:eastAsia="Calibri" w:hAnsi="gobCL" w:cs="Arial"/>
          <w:b/>
          <w:color w:val="1F497D" w:themeColor="text2"/>
          <w:lang w:val="es-ES_tradnl"/>
        </w:rPr>
        <w:t xml:space="preserve">Una vez adjudicado el titular del </w:t>
      </w:r>
      <w:proofErr w:type="spellStart"/>
      <w:r w:rsidRPr="009043C0">
        <w:rPr>
          <w:rFonts w:ascii="gobCL" w:eastAsia="Calibri" w:hAnsi="gobCL" w:cs="Arial"/>
          <w:b/>
          <w:color w:val="1F497D" w:themeColor="text2"/>
          <w:lang w:val="es-ES_tradnl"/>
        </w:rPr>
        <w:t>PEP</w:t>
      </w:r>
      <w:proofErr w:type="spellEnd"/>
      <w:r w:rsidRPr="009043C0">
        <w:rPr>
          <w:rFonts w:ascii="gobCL" w:eastAsia="Calibri" w:hAnsi="gobCL" w:cs="Arial"/>
          <w:b/>
          <w:color w:val="1F497D" w:themeColor="text2"/>
          <w:lang w:val="es-ES_tradnl"/>
        </w:rPr>
        <w:t xml:space="preserve"> debe tener presente que </w:t>
      </w:r>
      <w:r w:rsidRPr="009043C0">
        <w:rPr>
          <w:rFonts w:ascii="gobCL" w:hAnsi="gobCL"/>
          <w:b/>
          <w:bCs/>
          <w:color w:val="1F497D" w:themeColor="text2"/>
          <w:lang w:eastAsia="es-CL"/>
        </w:rPr>
        <w:t xml:space="preserve">la cuota licitada solo podrá ser extraída por embarcaciones artesanales, las cuales deberán inscribirse previamente en el Registro de Naves que lleva el Servicio Nacional de Pesca y Acuicultura, de conformidad con lo dispuesto en el artículo 29 de la Ley de Pesca. Sin que sea necesario que estas últimas cuenten con el recurso bacalao inscrito en el </w:t>
      </w:r>
      <w:proofErr w:type="spellStart"/>
      <w:r w:rsidRPr="009043C0">
        <w:rPr>
          <w:rFonts w:ascii="gobCL" w:hAnsi="gobCL"/>
          <w:b/>
          <w:bCs/>
          <w:color w:val="1F497D" w:themeColor="text2"/>
          <w:lang w:eastAsia="es-CL"/>
        </w:rPr>
        <w:t>RPA</w:t>
      </w:r>
      <w:proofErr w:type="spellEnd"/>
      <w:r w:rsidRPr="009043C0">
        <w:rPr>
          <w:rFonts w:ascii="gobCL" w:hAnsi="gobCL"/>
          <w:b/>
          <w:bCs/>
          <w:color w:val="1F497D" w:themeColor="text2"/>
          <w:lang w:eastAsia="es-CL"/>
        </w:rPr>
        <w:t>.</w:t>
      </w:r>
    </w:p>
    <w:p w:rsidR="000E375B" w:rsidRPr="009043C0" w:rsidRDefault="000E375B" w:rsidP="000E375B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obCL" w:eastAsia="Times New Roman" w:hAnsi="gobCL" w:cs="Arial"/>
          <w:lang w:val="es-ES_tradnl" w:eastAsia="es-ES"/>
        </w:rPr>
      </w:pPr>
    </w:p>
    <w:p w:rsidR="000E375B" w:rsidRPr="00992C1B" w:rsidRDefault="000E375B" w:rsidP="000E375B">
      <w:pPr>
        <w:ind w:firstLine="708"/>
        <w:jc w:val="both"/>
        <w:rPr>
          <w:rFonts w:ascii="gobCL" w:hAnsi="gobCL"/>
        </w:rPr>
      </w:pPr>
      <w:r w:rsidRPr="00992C1B">
        <w:rPr>
          <w:rFonts w:ascii="gobCL" w:hAnsi="gobCL"/>
        </w:rPr>
        <w:t>2.- ¿El valor de la oferta debe ser por año o la suma total de los años a licitar?</w:t>
      </w:r>
    </w:p>
    <w:p w:rsidR="000E375B" w:rsidRDefault="000E375B" w:rsidP="000E375B">
      <w:pPr>
        <w:ind w:firstLine="708"/>
        <w:jc w:val="both"/>
        <w:rPr>
          <w:rFonts w:ascii="gobCL" w:hAnsi="gobCL"/>
          <w:b/>
          <w:color w:val="1F497D" w:themeColor="text2"/>
        </w:rPr>
      </w:pPr>
      <w:r w:rsidRPr="00992C1B">
        <w:rPr>
          <w:rFonts w:ascii="gobCL" w:hAnsi="gobCL"/>
          <w:b/>
          <w:color w:val="1F497D" w:themeColor="text2"/>
        </w:rPr>
        <w:t>Debe ser por la suma total de años a licitar que señalen las bases.</w:t>
      </w:r>
    </w:p>
    <w:p w:rsidR="00337382" w:rsidRPr="00992C1B" w:rsidRDefault="00337382" w:rsidP="000E375B">
      <w:pPr>
        <w:ind w:firstLine="708"/>
        <w:jc w:val="both"/>
        <w:rPr>
          <w:rFonts w:ascii="gobCL" w:hAnsi="gobCL"/>
          <w:b/>
          <w:color w:val="1F497D" w:themeColor="text2"/>
        </w:rPr>
      </w:pPr>
      <w:bookmarkStart w:id="0" w:name="_GoBack"/>
      <w:bookmarkEnd w:id="0"/>
    </w:p>
    <w:p w:rsidR="000E375B" w:rsidRPr="00992C1B" w:rsidRDefault="000E375B" w:rsidP="000E375B">
      <w:pPr>
        <w:ind w:left="708"/>
        <w:jc w:val="both"/>
        <w:rPr>
          <w:rFonts w:ascii="gobCL" w:hAnsi="gobCL"/>
        </w:rPr>
      </w:pPr>
      <w:r w:rsidRPr="00992C1B">
        <w:rPr>
          <w:rFonts w:ascii="gobCL" w:hAnsi="gobCL"/>
        </w:rPr>
        <w:t xml:space="preserve">3.- Los requisitos establecidos en las bases pueden ser modificados por </w:t>
      </w:r>
      <w:proofErr w:type="spellStart"/>
      <w:r w:rsidRPr="00992C1B">
        <w:rPr>
          <w:rFonts w:ascii="gobCL" w:hAnsi="gobCL"/>
        </w:rPr>
        <w:t>Sernapesca</w:t>
      </w:r>
      <w:proofErr w:type="spellEnd"/>
      <w:r w:rsidRPr="00992C1B">
        <w:rPr>
          <w:rFonts w:ascii="gobCL" w:hAnsi="gobCL"/>
        </w:rPr>
        <w:t xml:space="preserve"> una vez que el titular quiera ejercer sus derechos de cuota o establecer nuevos requisitos</w:t>
      </w:r>
      <w:proofErr w:type="gramStart"/>
      <w:r w:rsidRPr="00992C1B">
        <w:rPr>
          <w:rFonts w:ascii="gobCL" w:hAnsi="gobCL"/>
        </w:rPr>
        <w:t>?</w:t>
      </w:r>
      <w:proofErr w:type="gramEnd"/>
    </w:p>
    <w:p w:rsidR="000E375B" w:rsidRPr="00992C1B" w:rsidRDefault="000E375B" w:rsidP="000E375B">
      <w:pPr>
        <w:ind w:left="708"/>
        <w:jc w:val="both"/>
        <w:rPr>
          <w:rFonts w:ascii="gobCL" w:hAnsi="gobCL"/>
          <w:b/>
          <w:color w:val="1F497D" w:themeColor="text2"/>
        </w:rPr>
      </w:pPr>
      <w:r w:rsidRPr="00992C1B">
        <w:rPr>
          <w:rFonts w:ascii="gobCL" w:hAnsi="gobCL"/>
          <w:b/>
          <w:color w:val="1F497D" w:themeColor="text2"/>
        </w:rPr>
        <w:t>El Servicio puede establecer dentro del ámbito de su competencia y siempre que lo faculte la ley o Reglamento, requisitos adicionales para efectos de extracción y fiscalización</w:t>
      </w:r>
      <w:r>
        <w:rPr>
          <w:rFonts w:ascii="gobCL" w:hAnsi="gobCL"/>
          <w:b/>
          <w:color w:val="1F497D" w:themeColor="text2"/>
        </w:rPr>
        <w:t>.</w:t>
      </w:r>
      <w:r w:rsidRPr="00992C1B">
        <w:rPr>
          <w:rFonts w:ascii="gobCL" w:hAnsi="gobCL"/>
          <w:b/>
          <w:color w:val="1F497D" w:themeColor="text2"/>
        </w:rPr>
        <w:t xml:space="preserve"> </w:t>
      </w:r>
    </w:p>
    <w:p w:rsidR="00A62A13" w:rsidRDefault="008E3BB5" w:rsidP="000E375B">
      <w:pPr>
        <w:ind w:firstLine="708"/>
      </w:pPr>
    </w:p>
    <w:sectPr w:rsidR="00A62A13" w:rsidSect="008E3BB5">
      <w:pgSz w:w="12240" w:h="18720" w:code="14"/>
      <w:pgMar w:top="851" w:right="1191" w:bottom="2552" w:left="21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2DBD"/>
    <w:multiLevelType w:val="hybridMultilevel"/>
    <w:tmpl w:val="B960177A"/>
    <w:lvl w:ilvl="0" w:tplc="340A0017">
      <w:start w:val="1"/>
      <w:numFmt w:val="lowerLetter"/>
      <w:lvlText w:val="%1)"/>
      <w:lvlJc w:val="left"/>
      <w:pPr>
        <w:ind w:left="1854" w:hanging="360"/>
      </w:p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EA"/>
    <w:rsid w:val="000E375B"/>
    <w:rsid w:val="00337382"/>
    <w:rsid w:val="0053584B"/>
    <w:rsid w:val="0086567F"/>
    <w:rsid w:val="008E3BB5"/>
    <w:rsid w:val="00A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9EA"/>
    <w:pPr>
      <w:spacing w:after="0" w:line="240" w:lineRule="auto"/>
      <w:ind w:left="720"/>
    </w:pPr>
    <w:rPr>
      <w:rFonts w:ascii="Calibri" w:hAnsi="Calibri" w:cs="Times New Roman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9EA"/>
    <w:pPr>
      <w:spacing w:after="0" w:line="240" w:lineRule="auto"/>
      <w:ind w:left="720"/>
    </w:pPr>
    <w:rPr>
      <w:rFonts w:ascii="Calibri" w:hAnsi="Calibri" w:cs="Times New Roman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bastapublica@subpesc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1841</Characters>
  <Application>Microsoft Office Word</Application>
  <DocSecurity>0</DocSecurity>
  <Lines>73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Francisco Ortiz</cp:lastModifiedBy>
  <cp:revision>4</cp:revision>
  <dcterms:created xsi:type="dcterms:W3CDTF">2020-11-25T15:11:00Z</dcterms:created>
  <dcterms:modified xsi:type="dcterms:W3CDTF">2020-11-25T15:14:00Z</dcterms:modified>
</cp:coreProperties>
</file>