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A7" w:rsidRPr="000C1AA7" w:rsidRDefault="003907DB" w:rsidP="0079274E">
      <w:pPr>
        <w:pStyle w:val="Prrafodelista"/>
        <w:jc w:val="both"/>
        <w:rPr>
          <w:rFonts w:ascii="gobCL" w:hAnsi="gobCL"/>
          <w:b/>
          <w:u w:val="single"/>
        </w:rPr>
      </w:pPr>
      <w:r>
        <w:rPr>
          <w:rFonts w:ascii="gobCL" w:hAnsi="gobCL"/>
          <w:b/>
          <w:u w:val="single"/>
        </w:rPr>
        <w:t xml:space="preserve">ACLARACIÓN DE OFICIO A LAS </w:t>
      </w:r>
      <w:r w:rsidR="000C1AA7" w:rsidRPr="000C1AA7">
        <w:rPr>
          <w:rFonts w:ascii="gobCL" w:hAnsi="gobCL"/>
          <w:b/>
          <w:u w:val="single"/>
        </w:rPr>
        <w:t>BASES ADMINISTRATIVAS SUBASTA</w:t>
      </w:r>
      <w:r>
        <w:rPr>
          <w:rFonts w:ascii="gobCL" w:hAnsi="gobCL"/>
          <w:b/>
          <w:u w:val="single"/>
        </w:rPr>
        <w:t>S</w:t>
      </w:r>
      <w:r w:rsidR="000C1AA7" w:rsidRPr="000C1AA7">
        <w:rPr>
          <w:rFonts w:ascii="gobCL" w:hAnsi="gobCL"/>
          <w:b/>
          <w:u w:val="single"/>
        </w:rPr>
        <w:t xml:space="preserve"> LICENCIA</w:t>
      </w:r>
      <w:r>
        <w:rPr>
          <w:rFonts w:ascii="gobCL" w:hAnsi="gobCL"/>
          <w:b/>
          <w:u w:val="single"/>
        </w:rPr>
        <w:t>S</w:t>
      </w:r>
      <w:r w:rsidR="000C1AA7" w:rsidRPr="000C1AA7">
        <w:rPr>
          <w:rFonts w:ascii="gobCL" w:hAnsi="gobCL"/>
          <w:b/>
          <w:u w:val="single"/>
        </w:rPr>
        <w:t xml:space="preserve"> TRANSABLE</w:t>
      </w:r>
      <w:r>
        <w:rPr>
          <w:rFonts w:ascii="gobCL" w:hAnsi="gobCL"/>
          <w:b/>
          <w:u w:val="single"/>
        </w:rPr>
        <w:t>S</w:t>
      </w:r>
      <w:r w:rsidR="000C1AA7" w:rsidRPr="000C1AA7">
        <w:rPr>
          <w:rFonts w:ascii="gobCL" w:hAnsi="gobCL"/>
          <w:b/>
          <w:u w:val="single"/>
        </w:rPr>
        <w:t xml:space="preserve"> DE PESCA TIPO B</w:t>
      </w:r>
      <w:r>
        <w:rPr>
          <w:rFonts w:ascii="gobCL" w:hAnsi="gobCL"/>
          <w:b/>
          <w:u w:val="single"/>
        </w:rPr>
        <w:t xml:space="preserve"> Y PERMISOS EXTRAORDINARIOS DE PESCA</w:t>
      </w:r>
    </w:p>
    <w:p w:rsidR="000C1AA7" w:rsidRDefault="000C1AA7" w:rsidP="0079274E">
      <w:pPr>
        <w:pStyle w:val="Prrafodelista"/>
        <w:jc w:val="both"/>
        <w:rPr>
          <w:rFonts w:ascii="gobCL" w:hAnsi="gobCL"/>
          <w:b/>
        </w:rPr>
      </w:pPr>
    </w:p>
    <w:p w:rsidR="003907DB" w:rsidRDefault="003907DB" w:rsidP="0079274E">
      <w:pPr>
        <w:pStyle w:val="Prrafodelista"/>
        <w:jc w:val="right"/>
        <w:rPr>
          <w:rFonts w:ascii="gobCL" w:hAnsi="gobCL"/>
          <w:b/>
        </w:rPr>
      </w:pPr>
      <w:r>
        <w:rPr>
          <w:rFonts w:ascii="gobCL" w:hAnsi="gobCL"/>
          <w:b/>
        </w:rPr>
        <w:t>Valparaíso, con fecha 27 de noviembre de 2020</w:t>
      </w:r>
      <w:r w:rsidR="0079274E">
        <w:rPr>
          <w:rFonts w:ascii="gobCL" w:hAnsi="gobCL"/>
          <w:b/>
        </w:rPr>
        <w:t>.</w:t>
      </w:r>
    </w:p>
    <w:p w:rsidR="003907DB" w:rsidRPr="000C1AA7" w:rsidRDefault="003907DB" w:rsidP="0079274E">
      <w:pPr>
        <w:pStyle w:val="Prrafodelista"/>
        <w:jc w:val="both"/>
        <w:rPr>
          <w:rFonts w:ascii="gobCL" w:hAnsi="gobCL"/>
          <w:b/>
        </w:rPr>
      </w:pPr>
    </w:p>
    <w:p w:rsidR="003907DB" w:rsidRDefault="003907DB" w:rsidP="0079274E">
      <w:pPr>
        <w:spacing w:after="0" w:line="240" w:lineRule="auto"/>
        <w:ind w:left="708"/>
        <w:jc w:val="both"/>
        <w:rPr>
          <w:rFonts w:ascii="gobCL" w:hAnsi="gobCL"/>
        </w:rPr>
      </w:pPr>
      <w:r>
        <w:rPr>
          <w:rFonts w:ascii="gobCL" w:hAnsi="gobCL"/>
        </w:rPr>
        <w:t xml:space="preserve">En conformidad a las bases de licitación y para efectos de facilitar la </w:t>
      </w:r>
      <w:r w:rsidR="00CF1478">
        <w:rPr>
          <w:rFonts w:ascii="gobCL" w:hAnsi="gobCL"/>
        </w:rPr>
        <w:t>correcta participación en el proceso licitatorio</w:t>
      </w:r>
      <w:r>
        <w:rPr>
          <w:rFonts w:ascii="gobCL" w:hAnsi="gobCL"/>
        </w:rPr>
        <w:t xml:space="preserve">, la Subsecretaría de Pesca y Acuicultura ha estimado pertinente efectuar las siguientes aclaraciones de oficio </w:t>
      </w:r>
      <w:r w:rsidR="00F43B24">
        <w:rPr>
          <w:rFonts w:ascii="gobCL" w:hAnsi="gobCL"/>
        </w:rPr>
        <w:t>al proceso de subastas a desarrollar durante el mes de diciembre del presente año</w:t>
      </w:r>
      <w:r>
        <w:rPr>
          <w:rFonts w:ascii="gobCL" w:hAnsi="gobCL"/>
        </w:rPr>
        <w:t>:</w:t>
      </w:r>
    </w:p>
    <w:p w:rsidR="003907DB" w:rsidRDefault="003907DB" w:rsidP="0079274E">
      <w:pPr>
        <w:spacing w:after="0" w:line="240" w:lineRule="auto"/>
        <w:ind w:left="708"/>
        <w:jc w:val="both"/>
        <w:rPr>
          <w:rFonts w:ascii="gobCL" w:hAnsi="gobCL"/>
        </w:rPr>
      </w:pPr>
    </w:p>
    <w:p w:rsidR="003907DB" w:rsidRDefault="003907DB" w:rsidP="0079274E">
      <w:pPr>
        <w:pStyle w:val="Prrafodelista"/>
        <w:numPr>
          <w:ilvl w:val="0"/>
          <w:numId w:val="7"/>
        </w:numPr>
        <w:jc w:val="both"/>
        <w:rPr>
          <w:rFonts w:ascii="gobCL" w:hAnsi="gobCL"/>
        </w:rPr>
      </w:pPr>
      <w:r>
        <w:rPr>
          <w:rFonts w:ascii="gobCL" w:hAnsi="gobCL"/>
        </w:rPr>
        <w:t>Mediante la Resolución Exenta N° 2.467, de 2020, se efectuó un llamado ordinario para la licitación de permisos extraordinarios de pesca (</w:t>
      </w:r>
      <w:r w:rsidR="00E941C0">
        <w:rPr>
          <w:rFonts w:ascii="gobCL" w:hAnsi="gobCL"/>
        </w:rPr>
        <w:t>“</w:t>
      </w:r>
      <w:r>
        <w:rPr>
          <w:rFonts w:ascii="gobCL" w:hAnsi="gobCL"/>
        </w:rPr>
        <w:t>PEP</w:t>
      </w:r>
      <w:r w:rsidR="00E941C0">
        <w:rPr>
          <w:rFonts w:ascii="gobCL" w:hAnsi="gobCL"/>
        </w:rPr>
        <w:t>”</w:t>
      </w:r>
      <w:r>
        <w:rPr>
          <w:rFonts w:ascii="gobCL" w:hAnsi="gobCL"/>
        </w:rPr>
        <w:t xml:space="preserve">) de los recursos langostino amarillo, langostino colorado y bacalao de profundidad. Como expresamente indican las bases se debe presentar </w:t>
      </w:r>
      <w:r w:rsidRPr="00F1111C">
        <w:rPr>
          <w:rFonts w:ascii="gobCL" w:hAnsi="gobCL"/>
          <w:b/>
          <w:u w:val="single"/>
        </w:rPr>
        <w:t>un sobre</w:t>
      </w:r>
      <w:r>
        <w:rPr>
          <w:rFonts w:ascii="gobCL" w:hAnsi="gobCL"/>
        </w:rPr>
        <w:t xml:space="preserve"> con </w:t>
      </w:r>
      <w:r w:rsidR="00CF1478">
        <w:rPr>
          <w:rFonts w:ascii="gobCL" w:hAnsi="gobCL"/>
        </w:rPr>
        <w:t xml:space="preserve">Antecedentes Administrativos </w:t>
      </w:r>
      <w:r>
        <w:rPr>
          <w:rFonts w:ascii="gobCL" w:hAnsi="gobCL"/>
        </w:rPr>
        <w:t xml:space="preserve">(Sobre N° 1), </w:t>
      </w:r>
      <w:r w:rsidRPr="00F1111C">
        <w:rPr>
          <w:rFonts w:ascii="gobCL" w:hAnsi="gobCL"/>
          <w:b/>
          <w:u w:val="single"/>
        </w:rPr>
        <w:t>un sobre</w:t>
      </w:r>
      <w:r>
        <w:rPr>
          <w:rFonts w:ascii="gobCL" w:hAnsi="gobCL"/>
        </w:rPr>
        <w:t xml:space="preserve"> con las </w:t>
      </w:r>
      <w:r w:rsidR="00CF1478">
        <w:rPr>
          <w:rFonts w:ascii="gobCL" w:hAnsi="gobCL"/>
        </w:rPr>
        <w:t xml:space="preserve">Ofertas Económicas </w:t>
      </w:r>
      <w:r>
        <w:rPr>
          <w:rFonts w:ascii="gobCL" w:hAnsi="gobCL"/>
        </w:rPr>
        <w:t xml:space="preserve">(Sobre N° 2) y </w:t>
      </w:r>
      <w:r w:rsidRPr="00F1111C">
        <w:rPr>
          <w:rFonts w:ascii="gobCL" w:hAnsi="gobCL"/>
          <w:b/>
          <w:u w:val="single"/>
        </w:rPr>
        <w:t>un sobre</w:t>
      </w:r>
      <w:r>
        <w:rPr>
          <w:rFonts w:ascii="gobCL" w:hAnsi="gobCL"/>
        </w:rPr>
        <w:t xml:space="preserve"> con los </w:t>
      </w:r>
      <w:r w:rsidR="00CF1478">
        <w:rPr>
          <w:rFonts w:ascii="gobCL" w:hAnsi="gobCL"/>
        </w:rPr>
        <w:t xml:space="preserve">Desempates </w:t>
      </w:r>
      <w:r>
        <w:rPr>
          <w:rFonts w:ascii="gobCL" w:hAnsi="gobCL"/>
        </w:rPr>
        <w:t>(Sobre N° 3). Por lo anterior, si un oferente quiere participar en la subasta de más de un recurso, debe acompañar todas sus ofertas</w:t>
      </w:r>
      <w:r w:rsidR="00E941C0">
        <w:rPr>
          <w:rFonts w:ascii="gobCL" w:hAnsi="gobCL"/>
        </w:rPr>
        <w:t xml:space="preserve">, </w:t>
      </w:r>
      <w:r w:rsidR="00E941C0" w:rsidRPr="00E941C0">
        <w:rPr>
          <w:rFonts w:ascii="gobCL" w:hAnsi="gobCL"/>
          <w:b/>
        </w:rPr>
        <w:t>aunque quiera participar a más de un recurso</w:t>
      </w:r>
      <w:r w:rsidR="00E941C0">
        <w:rPr>
          <w:rFonts w:ascii="gobCL" w:hAnsi="gobCL"/>
        </w:rPr>
        <w:t>,</w:t>
      </w:r>
      <w:r>
        <w:rPr>
          <w:rFonts w:ascii="gobCL" w:hAnsi="gobCL"/>
        </w:rPr>
        <w:t xml:space="preserve"> en el Sobre N° 2, conforme indican las bases. Respecto a la garantía de seriedad de la oferta, debe </w:t>
      </w:r>
      <w:r w:rsidR="00E941C0">
        <w:rPr>
          <w:rFonts w:ascii="gobCL" w:hAnsi="gobCL"/>
        </w:rPr>
        <w:t>respetar lo señalado en las bases de licitación, esto es, a lo menos una garantía por recurso, al cual desea participar.</w:t>
      </w:r>
      <w:r w:rsidR="00F43B24">
        <w:rPr>
          <w:rFonts w:ascii="gobCL" w:hAnsi="gobCL"/>
        </w:rPr>
        <w:t xml:space="preserve"> Todas las garantías deben venir en </w:t>
      </w:r>
      <w:r w:rsidR="00CF1478">
        <w:rPr>
          <w:rFonts w:ascii="gobCL" w:hAnsi="gobCL"/>
        </w:rPr>
        <w:t xml:space="preserve">el </w:t>
      </w:r>
      <w:r w:rsidR="00F43B24">
        <w:rPr>
          <w:rFonts w:ascii="gobCL" w:hAnsi="gobCL"/>
        </w:rPr>
        <w:t>Sobre N° 1.</w:t>
      </w:r>
    </w:p>
    <w:p w:rsidR="00E941C0" w:rsidRPr="00E941C0" w:rsidRDefault="00E941C0" w:rsidP="0079274E">
      <w:pPr>
        <w:spacing w:after="0" w:line="240" w:lineRule="auto"/>
        <w:jc w:val="both"/>
        <w:rPr>
          <w:rFonts w:ascii="gobCL" w:hAnsi="gobCL"/>
        </w:rPr>
      </w:pPr>
    </w:p>
    <w:p w:rsidR="00E941C0" w:rsidRDefault="00E941C0" w:rsidP="0079274E">
      <w:pPr>
        <w:pStyle w:val="Prrafodelista"/>
        <w:numPr>
          <w:ilvl w:val="0"/>
          <w:numId w:val="7"/>
        </w:numPr>
        <w:jc w:val="both"/>
        <w:rPr>
          <w:rFonts w:ascii="gobCL" w:hAnsi="gobCL"/>
        </w:rPr>
      </w:pPr>
      <w:r w:rsidRPr="00E941C0">
        <w:rPr>
          <w:rFonts w:ascii="gobCL" w:hAnsi="gobCL"/>
        </w:rPr>
        <w:t>Mediante la Resolución Exenta N° 2.4</w:t>
      </w:r>
      <w:r>
        <w:rPr>
          <w:rFonts w:ascii="gobCL" w:hAnsi="gobCL"/>
        </w:rPr>
        <w:t>70</w:t>
      </w:r>
      <w:r w:rsidRPr="00E941C0">
        <w:rPr>
          <w:rFonts w:ascii="gobCL" w:hAnsi="gobCL"/>
        </w:rPr>
        <w:t xml:space="preserve">, de 2020, se efectuó un llamado para la licitación de </w:t>
      </w:r>
      <w:r>
        <w:rPr>
          <w:rFonts w:ascii="gobCL" w:hAnsi="gobCL"/>
        </w:rPr>
        <w:t>Licencias Transables de Pesca clase B</w:t>
      </w:r>
      <w:r w:rsidRPr="00E941C0">
        <w:rPr>
          <w:rFonts w:ascii="gobCL" w:hAnsi="gobCL"/>
        </w:rPr>
        <w:t xml:space="preserve"> (</w:t>
      </w:r>
      <w:r>
        <w:rPr>
          <w:rFonts w:ascii="gobCL" w:hAnsi="gobCL"/>
        </w:rPr>
        <w:t>“LTP B”</w:t>
      </w:r>
      <w:r w:rsidRPr="00E941C0">
        <w:rPr>
          <w:rFonts w:ascii="gobCL" w:hAnsi="gobCL"/>
        </w:rPr>
        <w:t>) de los recursos Anchoveta en su Unidad de Pesquería de las Regiones de Arica y Parinacota a Antofagasta, Anchoveta en su Unidad de Pesquería de Las Regiones Atacama a Coquimbo, Sardina común en su Unidad de Pesquería de Las Regiones Valparaíso a Los Lagos y Merluza común en su Unidad de Pesquería de la Región de Coquimbo al paralelo 41° 28, 6’ L.S.</w:t>
      </w:r>
      <w:r>
        <w:rPr>
          <w:rFonts w:ascii="gobCL" w:hAnsi="gobCL"/>
        </w:rPr>
        <w:t xml:space="preserve">, en atención a la renuncia, desistimiento y deserción de los mismos, según se indica en cada caso. </w:t>
      </w:r>
      <w:r w:rsidRPr="00E941C0">
        <w:rPr>
          <w:rFonts w:ascii="gobCL" w:hAnsi="gobCL"/>
          <w:b/>
          <w:u w:val="single"/>
        </w:rPr>
        <w:t xml:space="preserve">Respecto al recurso Merluza común, se modificará la fecha de la </w:t>
      </w:r>
      <w:r w:rsidR="004C06C2">
        <w:rPr>
          <w:rFonts w:ascii="gobCL" w:hAnsi="gobCL"/>
          <w:b/>
          <w:u w:val="single"/>
        </w:rPr>
        <w:t xml:space="preserve">recepción y apertura </w:t>
      </w:r>
      <w:r w:rsidRPr="00E941C0">
        <w:rPr>
          <w:rFonts w:ascii="gobCL" w:hAnsi="gobCL"/>
          <w:b/>
          <w:u w:val="single"/>
        </w:rPr>
        <w:t>de sobres, por los motivos que se informaran</w:t>
      </w:r>
      <w:r w:rsidR="004C06C2">
        <w:rPr>
          <w:rFonts w:ascii="gobCL" w:hAnsi="gobCL"/>
          <w:b/>
          <w:u w:val="single"/>
        </w:rPr>
        <w:t xml:space="preserve"> el 30 de noviembre de 2020 en un diario de circulación nacional.</w:t>
      </w:r>
      <w:r>
        <w:rPr>
          <w:rFonts w:ascii="gobCL" w:hAnsi="gobCL"/>
        </w:rPr>
        <w:t xml:space="preserve"> Sin perjuicio de lo anterior, y como expresamente indican las bases se debe presentar </w:t>
      </w:r>
      <w:r w:rsidRPr="00F1111C">
        <w:rPr>
          <w:rFonts w:ascii="gobCL" w:hAnsi="gobCL"/>
          <w:b/>
          <w:u w:val="single"/>
        </w:rPr>
        <w:t>un sobre</w:t>
      </w:r>
      <w:r>
        <w:rPr>
          <w:rFonts w:ascii="gobCL" w:hAnsi="gobCL"/>
        </w:rPr>
        <w:t xml:space="preserve"> con </w:t>
      </w:r>
      <w:r w:rsidR="00CF1478">
        <w:rPr>
          <w:rFonts w:ascii="gobCL" w:hAnsi="gobCL"/>
        </w:rPr>
        <w:t xml:space="preserve">Antecedentes Administrativos </w:t>
      </w:r>
      <w:r>
        <w:rPr>
          <w:rFonts w:ascii="gobCL" w:hAnsi="gobCL"/>
        </w:rPr>
        <w:t xml:space="preserve">(Sobre N° 1), </w:t>
      </w:r>
      <w:r w:rsidRPr="00F1111C">
        <w:rPr>
          <w:rFonts w:ascii="gobCL" w:hAnsi="gobCL"/>
          <w:b/>
          <w:u w:val="single"/>
        </w:rPr>
        <w:t>un sobre</w:t>
      </w:r>
      <w:r>
        <w:rPr>
          <w:rFonts w:ascii="gobCL" w:hAnsi="gobCL"/>
        </w:rPr>
        <w:t xml:space="preserve"> con las </w:t>
      </w:r>
      <w:r w:rsidR="00CF1478">
        <w:rPr>
          <w:rFonts w:ascii="gobCL" w:hAnsi="gobCL"/>
        </w:rPr>
        <w:t xml:space="preserve">Ofertas Económicas </w:t>
      </w:r>
      <w:r>
        <w:rPr>
          <w:rFonts w:ascii="gobCL" w:hAnsi="gobCL"/>
        </w:rPr>
        <w:t xml:space="preserve">(Sobre N° 2) y </w:t>
      </w:r>
      <w:r w:rsidRPr="00F1111C">
        <w:rPr>
          <w:rFonts w:ascii="gobCL" w:hAnsi="gobCL"/>
          <w:b/>
          <w:u w:val="single"/>
        </w:rPr>
        <w:t>un sobre</w:t>
      </w:r>
      <w:r>
        <w:rPr>
          <w:rFonts w:ascii="gobCL" w:hAnsi="gobCL"/>
        </w:rPr>
        <w:t xml:space="preserve"> con los </w:t>
      </w:r>
      <w:r w:rsidR="00CF1478">
        <w:rPr>
          <w:rFonts w:ascii="gobCL" w:hAnsi="gobCL"/>
        </w:rPr>
        <w:t xml:space="preserve">Desempates </w:t>
      </w:r>
      <w:r>
        <w:rPr>
          <w:rFonts w:ascii="gobCL" w:hAnsi="gobCL"/>
        </w:rPr>
        <w:t>(Sobre N° 3). Por lo anterior, si un oferente quiere participar en la subasta de más de un recurso, debe acompañar todas sus ofertas,</w:t>
      </w:r>
      <w:r w:rsidRPr="00E941C0">
        <w:rPr>
          <w:rFonts w:ascii="gobCL" w:hAnsi="gobCL"/>
          <w:b/>
        </w:rPr>
        <w:t xml:space="preserve"> aunque quiera participar a más de un recurso</w:t>
      </w:r>
      <w:r>
        <w:rPr>
          <w:rFonts w:ascii="gobCL" w:hAnsi="gobCL"/>
          <w:b/>
        </w:rPr>
        <w:t>,</w:t>
      </w:r>
      <w:r>
        <w:rPr>
          <w:rFonts w:ascii="gobCL" w:hAnsi="gobCL"/>
        </w:rPr>
        <w:t xml:space="preserve"> en el Sobre N° 2, conforme indican las bases. Respecto a la garantía de seriedad de la oferta, debe respetar lo señalado en las bases de </w:t>
      </w:r>
      <w:r>
        <w:rPr>
          <w:rFonts w:ascii="gobCL" w:hAnsi="gobCL"/>
        </w:rPr>
        <w:lastRenderedPageBreak/>
        <w:t>licitación, esto es, a lo menos una garantía por recurso, por recurso al cual desea participar.</w:t>
      </w:r>
      <w:r w:rsidR="004C06C2">
        <w:rPr>
          <w:rFonts w:ascii="gobCL" w:hAnsi="gobCL"/>
        </w:rPr>
        <w:t xml:space="preserve"> Todas las garantías deben venir en </w:t>
      </w:r>
      <w:r w:rsidR="00CF1478">
        <w:rPr>
          <w:rFonts w:ascii="gobCL" w:hAnsi="gobCL"/>
        </w:rPr>
        <w:t>el</w:t>
      </w:r>
      <w:r w:rsidR="004C06C2">
        <w:rPr>
          <w:rFonts w:ascii="gobCL" w:hAnsi="gobCL"/>
        </w:rPr>
        <w:t xml:space="preserve"> Sobre N° 1.</w:t>
      </w:r>
    </w:p>
    <w:p w:rsidR="00E941C0" w:rsidRDefault="00E941C0" w:rsidP="0079274E">
      <w:pPr>
        <w:spacing w:after="0" w:line="240" w:lineRule="auto"/>
        <w:jc w:val="both"/>
        <w:rPr>
          <w:rFonts w:ascii="gobCL" w:hAnsi="gobCL"/>
        </w:rPr>
      </w:pPr>
    </w:p>
    <w:p w:rsidR="00F1111C" w:rsidRDefault="00F1111C" w:rsidP="0079274E">
      <w:pPr>
        <w:pStyle w:val="Prrafodelista"/>
        <w:numPr>
          <w:ilvl w:val="0"/>
          <w:numId w:val="7"/>
        </w:numPr>
        <w:jc w:val="both"/>
        <w:rPr>
          <w:rFonts w:ascii="gobCL" w:hAnsi="gobCL"/>
        </w:rPr>
      </w:pPr>
      <w:r w:rsidRPr="00E941C0">
        <w:rPr>
          <w:rFonts w:ascii="gobCL" w:hAnsi="gobCL"/>
        </w:rPr>
        <w:t>Mediante la Resolución Exenta N° 2.4</w:t>
      </w:r>
      <w:r>
        <w:rPr>
          <w:rFonts w:ascii="gobCL" w:hAnsi="gobCL"/>
        </w:rPr>
        <w:t>71</w:t>
      </w:r>
      <w:r w:rsidRPr="00E941C0">
        <w:rPr>
          <w:rFonts w:ascii="gobCL" w:hAnsi="gobCL"/>
        </w:rPr>
        <w:t xml:space="preserve">, de 2020, se efectuó un llamado para la licitación de </w:t>
      </w:r>
      <w:r>
        <w:rPr>
          <w:rFonts w:ascii="gobCL" w:hAnsi="gobCL"/>
        </w:rPr>
        <w:t>Licencias Transables de Pesca clase B</w:t>
      </w:r>
      <w:r w:rsidRPr="00E941C0">
        <w:rPr>
          <w:rFonts w:ascii="gobCL" w:hAnsi="gobCL"/>
        </w:rPr>
        <w:t xml:space="preserve"> (</w:t>
      </w:r>
      <w:r>
        <w:rPr>
          <w:rFonts w:ascii="gobCL" w:hAnsi="gobCL"/>
        </w:rPr>
        <w:t>“LTP B”</w:t>
      </w:r>
      <w:r w:rsidRPr="00E941C0">
        <w:rPr>
          <w:rFonts w:ascii="gobCL" w:hAnsi="gobCL"/>
        </w:rPr>
        <w:t xml:space="preserve">) de los </w:t>
      </w:r>
      <w:r w:rsidRPr="00A5407F">
        <w:rPr>
          <w:rFonts w:ascii="gobCL" w:eastAsia="Times New Roman" w:hAnsi="gobCL" w:cs="Arial"/>
          <w:lang w:val="es-ES" w:eastAsia="es-ES"/>
        </w:rPr>
        <w:t xml:space="preserve">recursos demersales </w:t>
      </w:r>
      <w:r w:rsidRPr="00A5407F">
        <w:rPr>
          <w:rFonts w:ascii="gobCL" w:eastAsia="Times New Roman" w:hAnsi="gobCL" w:cs="Arial"/>
          <w:lang w:val="es-ES_tradnl" w:eastAsia="es-ES"/>
        </w:rPr>
        <w:t>Congrio Dorado en sus unidades de pesquerías</w:t>
      </w:r>
      <w:r w:rsidRPr="00A5407F">
        <w:rPr>
          <w:rFonts w:ascii="gobCL" w:eastAsia="Times New Roman" w:hAnsi="gobCL"/>
          <w:lang w:val="es-ES" w:eastAsia="es-ES"/>
        </w:rPr>
        <w:t xml:space="preserve"> comprendidas entre los paralelos 41° 28,6’ al 47° L.S. </w:t>
      </w:r>
      <w:r w:rsidRPr="00A5407F">
        <w:rPr>
          <w:rFonts w:ascii="gobCL" w:eastAsia="Times New Roman" w:hAnsi="gobCL" w:cs="Arial"/>
          <w:lang w:val="es-ES_tradnl" w:eastAsia="es-ES"/>
        </w:rPr>
        <w:t>y</w:t>
      </w:r>
      <w:r w:rsidRPr="00A5407F">
        <w:rPr>
          <w:rFonts w:ascii="gobCL" w:eastAsia="Times New Roman" w:hAnsi="gobCL"/>
          <w:lang w:val="es-ES" w:eastAsia="es-ES"/>
        </w:rPr>
        <w:t xml:space="preserve"> entre los paralelos 47º L.S. al 57º L.S.</w:t>
      </w:r>
      <w:r w:rsidRPr="00A5407F">
        <w:rPr>
          <w:rFonts w:ascii="gobCL" w:eastAsia="Times New Roman" w:hAnsi="gobCL" w:cs="Arial"/>
          <w:lang w:val="es-ES_tradnl" w:eastAsia="es-ES"/>
        </w:rPr>
        <w:t xml:space="preserve"> </w:t>
      </w:r>
      <w:r w:rsidRPr="00A5407F">
        <w:rPr>
          <w:rFonts w:ascii="gobCL" w:eastAsia="Times New Roman" w:hAnsi="gobCL"/>
          <w:lang w:val="es-ES" w:eastAsia="es-ES"/>
        </w:rPr>
        <w:t xml:space="preserve">y Merluza del Sur </w:t>
      </w:r>
      <w:r w:rsidRPr="00A5407F">
        <w:rPr>
          <w:rFonts w:ascii="gobCL" w:eastAsia="Times New Roman" w:hAnsi="gobCL" w:cs="Arial"/>
          <w:lang w:val="es-ES_tradnl" w:eastAsia="es-ES"/>
        </w:rPr>
        <w:t>en sus unidades de pesquerías</w:t>
      </w:r>
      <w:r w:rsidRPr="00A5407F">
        <w:rPr>
          <w:rFonts w:ascii="gobCL" w:eastAsia="Times New Roman" w:hAnsi="gobCL"/>
          <w:lang w:val="es-ES" w:eastAsia="es-ES"/>
        </w:rPr>
        <w:t xml:space="preserve"> comprendidas entre los paralelos 41° 28,6’ al 47° L.S.</w:t>
      </w:r>
      <w:r w:rsidRPr="00A5407F">
        <w:rPr>
          <w:rFonts w:ascii="gobCL" w:eastAsia="Times New Roman" w:hAnsi="gobCL" w:cs="Arial"/>
          <w:lang w:val="es-ES_tradnl" w:eastAsia="es-ES"/>
        </w:rPr>
        <w:t xml:space="preserve"> y</w:t>
      </w:r>
      <w:r w:rsidRPr="00A5407F">
        <w:rPr>
          <w:rFonts w:ascii="gobCL" w:eastAsia="Times New Roman" w:hAnsi="gobCL"/>
          <w:lang w:val="es-ES" w:eastAsia="es-ES"/>
        </w:rPr>
        <w:t xml:space="preserve"> entre los paralelos </w:t>
      </w:r>
      <w:r>
        <w:rPr>
          <w:rFonts w:ascii="gobCL" w:eastAsia="Times New Roman" w:hAnsi="gobCL"/>
          <w:lang w:val="es-ES" w:eastAsia="es-ES"/>
        </w:rPr>
        <w:t>47º L.S. al 57º L.S</w:t>
      </w:r>
      <w:r>
        <w:rPr>
          <w:rFonts w:ascii="gobCL" w:hAnsi="gobCL"/>
        </w:rPr>
        <w:t xml:space="preserve">., los cuales corresponden a lo que se conoce como Pesquería </w:t>
      </w:r>
      <w:proofErr w:type="spellStart"/>
      <w:r>
        <w:rPr>
          <w:rFonts w:ascii="gobCL" w:hAnsi="gobCL"/>
        </w:rPr>
        <w:t>Demersal</w:t>
      </w:r>
      <w:proofErr w:type="spellEnd"/>
      <w:r>
        <w:rPr>
          <w:rFonts w:ascii="gobCL" w:hAnsi="gobCL"/>
        </w:rPr>
        <w:t xml:space="preserve"> Austral (PDA). </w:t>
      </w:r>
      <w:r w:rsidRPr="00F1111C">
        <w:rPr>
          <w:rFonts w:ascii="gobCL" w:hAnsi="gobCL"/>
        </w:rPr>
        <w:t>C</w:t>
      </w:r>
      <w:r>
        <w:rPr>
          <w:rFonts w:ascii="gobCL" w:hAnsi="gobCL"/>
        </w:rPr>
        <w:t xml:space="preserve">omo expresamente indican las bases se debe presentar </w:t>
      </w:r>
      <w:r w:rsidRPr="00F1111C">
        <w:rPr>
          <w:rFonts w:ascii="gobCL" w:hAnsi="gobCL"/>
          <w:b/>
          <w:u w:val="single"/>
        </w:rPr>
        <w:t>un sobre</w:t>
      </w:r>
      <w:r>
        <w:rPr>
          <w:rFonts w:ascii="gobCL" w:hAnsi="gobCL"/>
        </w:rPr>
        <w:t xml:space="preserve"> con </w:t>
      </w:r>
      <w:r w:rsidR="00CF1478">
        <w:rPr>
          <w:rFonts w:ascii="gobCL" w:hAnsi="gobCL"/>
        </w:rPr>
        <w:t xml:space="preserve">Antecedentes Administrativos </w:t>
      </w:r>
      <w:r>
        <w:rPr>
          <w:rFonts w:ascii="gobCL" w:hAnsi="gobCL"/>
        </w:rPr>
        <w:t xml:space="preserve">(Sobre N° 1), </w:t>
      </w:r>
      <w:r w:rsidRPr="00F1111C">
        <w:rPr>
          <w:rFonts w:ascii="gobCL" w:hAnsi="gobCL"/>
          <w:b/>
          <w:u w:val="single"/>
        </w:rPr>
        <w:t>un sobre</w:t>
      </w:r>
      <w:r>
        <w:rPr>
          <w:rFonts w:ascii="gobCL" w:hAnsi="gobCL"/>
        </w:rPr>
        <w:t xml:space="preserve"> con las </w:t>
      </w:r>
      <w:r w:rsidR="00CF1478">
        <w:rPr>
          <w:rFonts w:ascii="gobCL" w:hAnsi="gobCL"/>
        </w:rPr>
        <w:t xml:space="preserve">Ofertas Económicas </w:t>
      </w:r>
      <w:r>
        <w:rPr>
          <w:rFonts w:ascii="gobCL" w:hAnsi="gobCL"/>
        </w:rPr>
        <w:t xml:space="preserve">(Sobre N° 2) y </w:t>
      </w:r>
      <w:r w:rsidRPr="00F1111C">
        <w:rPr>
          <w:rFonts w:ascii="gobCL" w:hAnsi="gobCL"/>
          <w:b/>
          <w:u w:val="single"/>
        </w:rPr>
        <w:t>un sobre</w:t>
      </w:r>
      <w:r>
        <w:rPr>
          <w:rFonts w:ascii="gobCL" w:hAnsi="gobCL"/>
        </w:rPr>
        <w:t xml:space="preserve"> con los </w:t>
      </w:r>
      <w:r w:rsidR="00CF1478">
        <w:rPr>
          <w:rFonts w:ascii="gobCL" w:hAnsi="gobCL"/>
        </w:rPr>
        <w:t xml:space="preserve">Desempates </w:t>
      </w:r>
      <w:r>
        <w:rPr>
          <w:rFonts w:ascii="gobCL" w:hAnsi="gobCL"/>
        </w:rPr>
        <w:t>(Sobre N° 3). Por lo anterior, si un oferente quiere participar en la subasta de más de un recurso, debe acompañar todas sus ofertas,</w:t>
      </w:r>
      <w:r w:rsidRPr="00E941C0">
        <w:rPr>
          <w:rFonts w:ascii="gobCL" w:hAnsi="gobCL"/>
          <w:b/>
        </w:rPr>
        <w:t xml:space="preserve"> aunque quiera participar a más de un recurso</w:t>
      </w:r>
      <w:r>
        <w:rPr>
          <w:rFonts w:ascii="gobCL" w:hAnsi="gobCL"/>
          <w:b/>
        </w:rPr>
        <w:t>,</w:t>
      </w:r>
      <w:r>
        <w:rPr>
          <w:rFonts w:ascii="gobCL" w:hAnsi="gobCL"/>
        </w:rPr>
        <w:t xml:space="preserve"> en el Sobre N° 2, conforme indican las bases. Respecto a la garantía de seriedad de la oferta, debe respetar lo señalado en las bases de licitación, esto es, a lo menos una garantía por </w:t>
      </w:r>
      <w:proofErr w:type="spellStart"/>
      <w:r>
        <w:rPr>
          <w:rFonts w:ascii="gobCL" w:hAnsi="gobCL"/>
        </w:rPr>
        <w:t>recursoal</w:t>
      </w:r>
      <w:proofErr w:type="spellEnd"/>
      <w:r>
        <w:rPr>
          <w:rFonts w:ascii="gobCL" w:hAnsi="gobCL"/>
        </w:rPr>
        <w:t xml:space="preserve"> cual desea participar.</w:t>
      </w:r>
      <w:r w:rsidR="004C06C2">
        <w:rPr>
          <w:rFonts w:ascii="gobCL" w:hAnsi="gobCL"/>
        </w:rPr>
        <w:t xml:space="preserve"> Todas las garantías deben venir en </w:t>
      </w:r>
      <w:r w:rsidR="00CF1478">
        <w:rPr>
          <w:rFonts w:ascii="gobCL" w:hAnsi="gobCL"/>
        </w:rPr>
        <w:t xml:space="preserve">el </w:t>
      </w:r>
      <w:r w:rsidR="004C06C2">
        <w:rPr>
          <w:rFonts w:ascii="gobCL" w:hAnsi="gobCL"/>
        </w:rPr>
        <w:t>Sobre N° 1.</w:t>
      </w:r>
    </w:p>
    <w:p w:rsidR="00F1111C" w:rsidRPr="00F1111C" w:rsidRDefault="00F1111C" w:rsidP="0079274E">
      <w:pPr>
        <w:spacing w:after="0" w:line="240" w:lineRule="auto"/>
        <w:jc w:val="both"/>
        <w:rPr>
          <w:rFonts w:ascii="gobCL" w:hAnsi="gobCL"/>
        </w:rPr>
      </w:pPr>
    </w:p>
    <w:p w:rsidR="00E941C0" w:rsidRDefault="00F1111C" w:rsidP="0079274E">
      <w:pPr>
        <w:pStyle w:val="Prrafodelista"/>
        <w:numPr>
          <w:ilvl w:val="0"/>
          <w:numId w:val="7"/>
        </w:numPr>
        <w:jc w:val="both"/>
        <w:rPr>
          <w:rFonts w:ascii="gobCL" w:hAnsi="gobCL"/>
        </w:rPr>
      </w:pPr>
      <w:r>
        <w:rPr>
          <w:rFonts w:ascii="gobCL" w:hAnsi="gobCL"/>
        </w:rPr>
        <w:t xml:space="preserve">Lo antes señalado no impide que un oferente, por efectos de orden e indicar </w:t>
      </w:r>
      <w:r w:rsidR="004C06C2">
        <w:rPr>
          <w:rFonts w:ascii="gobCL" w:hAnsi="gobCL"/>
        </w:rPr>
        <w:t>claramente</w:t>
      </w:r>
      <w:r>
        <w:rPr>
          <w:rFonts w:ascii="gobCL" w:hAnsi="gobCL"/>
        </w:rPr>
        <w:t xml:space="preserve"> a cuál subasta desea participar, estime pertinente enviar estos sobres (1, 2 y 3) dentro de un sobre mayor, conocido coloquialmente como “Sobre Conductor” y/o acompañe una carta conductora. Esta</w:t>
      </w:r>
      <w:r w:rsidR="004C06C2">
        <w:rPr>
          <w:rFonts w:ascii="gobCL" w:hAnsi="gobCL"/>
        </w:rPr>
        <w:t>s</w:t>
      </w:r>
      <w:r>
        <w:rPr>
          <w:rFonts w:ascii="gobCL" w:hAnsi="gobCL"/>
        </w:rPr>
        <w:t xml:space="preserve"> </w:t>
      </w:r>
      <w:r w:rsidR="004C06C2">
        <w:rPr>
          <w:rFonts w:ascii="gobCL" w:hAnsi="gobCL"/>
        </w:rPr>
        <w:t>son</w:t>
      </w:r>
      <w:r>
        <w:rPr>
          <w:rFonts w:ascii="gobCL" w:hAnsi="gobCL"/>
        </w:rPr>
        <w:t xml:space="preserve"> una buena práctic</w:t>
      </w:r>
      <w:bookmarkStart w:id="0" w:name="_GoBack"/>
      <w:bookmarkEnd w:id="0"/>
      <w:r>
        <w:rPr>
          <w:rFonts w:ascii="gobCL" w:hAnsi="gobCL"/>
        </w:rPr>
        <w:t xml:space="preserve">a, la cual es voluntaria para los oferentes. </w:t>
      </w:r>
    </w:p>
    <w:p w:rsidR="00F1111C" w:rsidRPr="00F1111C" w:rsidRDefault="00F1111C" w:rsidP="0079274E">
      <w:pPr>
        <w:pStyle w:val="Prrafodelista"/>
        <w:jc w:val="both"/>
        <w:rPr>
          <w:rFonts w:ascii="gobCL" w:hAnsi="gobCL"/>
        </w:rPr>
      </w:pPr>
    </w:p>
    <w:p w:rsidR="00F1111C" w:rsidRDefault="00F1111C" w:rsidP="0079274E">
      <w:pPr>
        <w:pStyle w:val="Prrafodelista"/>
        <w:numPr>
          <w:ilvl w:val="0"/>
          <w:numId w:val="7"/>
        </w:numPr>
        <w:jc w:val="both"/>
        <w:rPr>
          <w:rFonts w:ascii="gobCL" w:hAnsi="gobCL"/>
        </w:rPr>
      </w:pPr>
      <w:r>
        <w:rPr>
          <w:rFonts w:ascii="gobCL" w:hAnsi="gobCL"/>
        </w:rPr>
        <w:t xml:space="preserve">Debido a la cantidad de procesos de subastas en curso, se sugiere a los oferentes que indiquen en sus sobres el </w:t>
      </w:r>
      <w:r w:rsidRPr="00F1111C">
        <w:rPr>
          <w:rFonts w:ascii="gobCL" w:hAnsi="gobCL"/>
          <w:b/>
          <w:u w:val="single"/>
        </w:rPr>
        <w:t>número de resolución</w:t>
      </w:r>
      <w:r>
        <w:rPr>
          <w:rFonts w:ascii="gobCL" w:hAnsi="gobCL"/>
        </w:rPr>
        <w:t xml:space="preserve"> que regula la subasta a la cual desean participar, para efectos de un adecuado orden y registro de sus propuestas.</w:t>
      </w:r>
    </w:p>
    <w:p w:rsidR="00E941C0" w:rsidRPr="00E941C0" w:rsidRDefault="00E941C0" w:rsidP="0079274E">
      <w:pPr>
        <w:pStyle w:val="Prrafodelista"/>
        <w:jc w:val="both"/>
        <w:rPr>
          <w:rFonts w:ascii="gobCL" w:hAnsi="gobCL"/>
        </w:rPr>
      </w:pPr>
    </w:p>
    <w:p w:rsidR="00E941C0" w:rsidRDefault="00F1111C" w:rsidP="0079274E">
      <w:pPr>
        <w:pStyle w:val="Prrafodelista"/>
        <w:numPr>
          <w:ilvl w:val="0"/>
          <w:numId w:val="7"/>
        </w:numPr>
        <w:jc w:val="both"/>
        <w:rPr>
          <w:rFonts w:ascii="gobCL" w:hAnsi="gobCL"/>
        </w:rPr>
      </w:pPr>
      <w:r>
        <w:rPr>
          <w:rFonts w:ascii="gobCL" w:hAnsi="gobCL"/>
        </w:rPr>
        <w:t xml:space="preserve">En aquellos procesos de subasta que agrupan a distintas unidades de pesquería de un </w:t>
      </w:r>
      <w:r w:rsidR="004C06C2">
        <w:rPr>
          <w:rFonts w:ascii="gobCL" w:hAnsi="gobCL"/>
        </w:rPr>
        <w:t xml:space="preserve">mismo </w:t>
      </w:r>
      <w:r>
        <w:rPr>
          <w:rFonts w:ascii="gobCL" w:hAnsi="gobCL"/>
        </w:rPr>
        <w:t xml:space="preserve">recurso hidrobiológico, </w:t>
      </w:r>
      <w:r w:rsidRPr="0079274E">
        <w:rPr>
          <w:rFonts w:ascii="gobCL" w:hAnsi="gobCL"/>
          <w:b/>
          <w:u w:val="single"/>
        </w:rPr>
        <w:t xml:space="preserve">se debe individualizar adecuadamente </w:t>
      </w:r>
      <w:r w:rsidR="004C06C2" w:rsidRPr="0079274E">
        <w:rPr>
          <w:rFonts w:ascii="gobCL" w:hAnsi="gobCL"/>
          <w:b/>
          <w:u w:val="single"/>
        </w:rPr>
        <w:t>a la unidad de pesquería</w:t>
      </w:r>
      <w:r w:rsidRPr="0079274E">
        <w:rPr>
          <w:rFonts w:ascii="gobCL" w:hAnsi="gobCL"/>
          <w:b/>
          <w:u w:val="single"/>
        </w:rPr>
        <w:t xml:space="preserve"> a</w:t>
      </w:r>
      <w:r w:rsidR="004C06C2" w:rsidRPr="0079274E">
        <w:rPr>
          <w:rFonts w:ascii="gobCL" w:hAnsi="gobCL"/>
          <w:b/>
          <w:u w:val="single"/>
        </w:rPr>
        <w:t xml:space="preserve"> </w:t>
      </w:r>
      <w:r w:rsidRPr="0079274E">
        <w:rPr>
          <w:rFonts w:ascii="gobCL" w:hAnsi="gobCL"/>
          <w:b/>
          <w:u w:val="single"/>
        </w:rPr>
        <w:t>l</w:t>
      </w:r>
      <w:r w:rsidR="004C06C2" w:rsidRPr="0079274E">
        <w:rPr>
          <w:rFonts w:ascii="gobCL" w:hAnsi="gobCL"/>
          <w:b/>
          <w:u w:val="single"/>
        </w:rPr>
        <w:t>a</w:t>
      </w:r>
      <w:r w:rsidRPr="0079274E">
        <w:rPr>
          <w:rFonts w:ascii="gobCL" w:hAnsi="gobCL"/>
          <w:b/>
          <w:u w:val="single"/>
        </w:rPr>
        <w:t xml:space="preserve"> cual se participa, a fin de evitar errores</w:t>
      </w:r>
      <w:r>
        <w:rPr>
          <w:rFonts w:ascii="gobCL" w:hAnsi="gobCL"/>
        </w:rPr>
        <w:t>. Se sugiere utilizar la nomenclatura recomendada en las bases de licitación en cada caso.</w:t>
      </w:r>
    </w:p>
    <w:p w:rsidR="00F43B24" w:rsidRPr="00F43B24" w:rsidRDefault="00F43B24" w:rsidP="0079274E">
      <w:pPr>
        <w:pStyle w:val="Prrafodelista"/>
        <w:jc w:val="both"/>
        <w:rPr>
          <w:rFonts w:ascii="gobCL" w:hAnsi="gobCL"/>
        </w:rPr>
      </w:pPr>
    </w:p>
    <w:p w:rsidR="00F43B24" w:rsidRDefault="00F43B24" w:rsidP="0079274E">
      <w:pPr>
        <w:pStyle w:val="Prrafodelista"/>
        <w:numPr>
          <w:ilvl w:val="0"/>
          <w:numId w:val="7"/>
        </w:numPr>
        <w:jc w:val="both"/>
        <w:rPr>
          <w:rFonts w:ascii="gobCL" w:hAnsi="gobCL"/>
        </w:rPr>
      </w:pPr>
      <w:r>
        <w:rPr>
          <w:rFonts w:ascii="gobCL" w:hAnsi="gobCL"/>
        </w:rPr>
        <w:t xml:space="preserve">Se informa a las </w:t>
      </w:r>
      <w:r w:rsidRPr="00F43B24">
        <w:rPr>
          <w:rFonts w:ascii="gobCL" w:hAnsi="gobCL"/>
          <w:b/>
        </w:rPr>
        <w:t>personas naturales chilenas</w:t>
      </w:r>
      <w:r>
        <w:rPr>
          <w:rFonts w:ascii="gobCL" w:hAnsi="gobCL"/>
        </w:rPr>
        <w:t xml:space="preserve"> interesadas en participar que en virtud del Decreto N° 32, de 2020, del Ministerio de Justicia y Derechos Humanos, se extendieron</w:t>
      </w:r>
      <w:r w:rsidRPr="00F43B24">
        <w:rPr>
          <w:rFonts w:ascii="gobCL" w:hAnsi="gobCL"/>
        </w:rPr>
        <w:t xml:space="preserve"> por el plazo de un año a contar de la fecha de su vencimiento, la vigencia de todas las cédulas de identidad para chilenos que expiren durante el año 2020</w:t>
      </w:r>
      <w:r>
        <w:rPr>
          <w:rFonts w:ascii="gobCL" w:hAnsi="gobCL"/>
        </w:rPr>
        <w:t xml:space="preserve">. </w:t>
      </w:r>
    </w:p>
    <w:p w:rsidR="00F43B24" w:rsidRPr="00F43B24" w:rsidRDefault="00F43B24" w:rsidP="0079274E">
      <w:pPr>
        <w:pStyle w:val="Prrafodelista"/>
        <w:jc w:val="both"/>
        <w:rPr>
          <w:rFonts w:ascii="gobCL" w:hAnsi="gobCL"/>
        </w:rPr>
      </w:pPr>
    </w:p>
    <w:p w:rsidR="00F43B24" w:rsidRPr="00F43B24" w:rsidRDefault="00F43B24" w:rsidP="0079274E">
      <w:pPr>
        <w:pStyle w:val="Prrafodelista"/>
        <w:numPr>
          <w:ilvl w:val="0"/>
          <w:numId w:val="7"/>
        </w:numPr>
        <w:jc w:val="both"/>
        <w:rPr>
          <w:rFonts w:ascii="gobCL" w:hAnsi="gobCL"/>
        </w:rPr>
      </w:pPr>
      <w:r w:rsidRPr="00F43B24">
        <w:rPr>
          <w:rFonts w:ascii="gobCL" w:hAnsi="gobCL"/>
        </w:rPr>
        <w:lastRenderedPageBreak/>
        <w:t xml:space="preserve">Se informa a las </w:t>
      </w:r>
      <w:r w:rsidRPr="00F43B24">
        <w:rPr>
          <w:rFonts w:ascii="gobCL" w:hAnsi="gobCL"/>
          <w:b/>
        </w:rPr>
        <w:t>personas naturales extranjeras</w:t>
      </w:r>
      <w:r w:rsidRPr="00F43B24">
        <w:rPr>
          <w:rFonts w:ascii="gobCL" w:hAnsi="gobCL"/>
        </w:rPr>
        <w:t xml:space="preserve"> interesadas en participar que en virtud del Decreto N° 34, de 2020, del Ministerio de Justicia y Derechos Humanos, se extendieron la vigencia de las cédulas de identidad para extranjeros, siempre que hubiese sido ingresada a trámite una solicitud de cambio o prórroga de visación de residente o permiso de permanencia definitiva ante el Departamento de Extranjería y Migración del Ministerio del Interior y Seguridad Pública o una Gobernación Provincial, según se indica a continuación:</w:t>
      </w:r>
    </w:p>
    <w:p w:rsidR="00F43B24" w:rsidRPr="00F43B24" w:rsidRDefault="00F43B24" w:rsidP="0079274E">
      <w:pPr>
        <w:pStyle w:val="Prrafodelista"/>
        <w:ind w:left="1068"/>
        <w:jc w:val="both"/>
        <w:rPr>
          <w:rFonts w:ascii="gobCL" w:hAnsi="gobCL"/>
        </w:rPr>
      </w:pPr>
      <w:r w:rsidRPr="00F43B24">
        <w:rPr>
          <w:rFonts w:ascii="gobCL" w:hAnsi="gobCL"/>
        </w:rPr>
        <w:t>a) Hasta el 31 de diciembre de 2020 aquellas cédulas de identidad para extranjeros vencidas</w:t>
      </w:r>
      <w:r>
        <w:rPr>
          <w:rFonts w:ascii="gobCL" w:hAnsi="gobCL"/>
        </w:rPr>
        <w:t xml:space="preserve"> </w:t>
      </w:r>
      <w:r w:rsidRPr="00F43B24">
        <w:rPr>
          <w:rFonts w:ascii="gobCL" w:hAnsi="gobCL"/>
        </w:rPr>
        <w:t>durante el año 2019.</w:t>
      </w:r>
    </w:p>
    <w:p w:rsidR="00F43B24" w:rsidRPr="00F43B24" w:rsidRDefault="00F43B24" w:rsidP="0079274E">
      <w:pPr>
        <w:pStyle w:val="Prrafodelista"/>
        <w:ind w:left="1068"/>
        <w:jc w:val="both"/>
        <w:rPr>
          <w:rFonts w:ascii="gobCL" w:hAnsi="gobCL"/>
        </w:rPr>
      </w:pPr>
      <w:r w:rsidRPr="00F43B24">
        <w:rPr>
          <w:rFonts w:ascii="gobCL" w:hAnsi="gobCL"/>
        </w:rPr>
        <w:t>b) Por el plazo de un año a contar de la fecha del vencimiento de las cédulas de identidad</w:t>
      </w:r>
      <w:r>
        <w:rPr>
          <w:rFonts w:ascii="gobCL" w:hAnsi="gobCL"/>
        </w:rPr>
        <w:t xml:space="preserve"> </w:t>
      </w:r>
      <w:r w:rsidRPr="00F43B24">
        <w:rPr>
          <w:rFonts w:ascii="gobCL" w:hAnsi="gobCL"/>
        </w:rPr>
        <w:t>para extranjeros que hayan expirado o expiren durante el año 2020.</w:t>
      </w:r>
    </w:p>
    <w:p w:rsidR="00F43B24" w:rsidRDefault="00F43B24" w:rsidP="0079274E">
      <w:pPr>
        <w:pStyle w:val="Prrafodelista"/>
        <w:ind w:left="1068"/>
        <w:jc w:val="both"/>
        <w:rPr>
          <w:rFonts w:ascii="gobCL" w:hAnsi="gobCL"/>
        </w:rPr>
      </w:pPr>
      <w:r w:rsidRPr="00F43B24">
        <w:rPr>
          <w:rFonts w:ascii="gobCL" w:hAnsi="gobCL"/>
        </w:rPr>
        <w:t>Para efectos de comprobar la vigencia de la cédula de identidad para extranjeros, la</w:t>
      </w:r>
      <w:r>
        <w:rPr>
          <w:rFonts w:ascii="gobCL" w:hAnsi="gobCL"/>
        </w:rPr>
        <w:t xml:space="preserve"> </w:t>
      </w:r>
      <w:r w:rsidRPr="00F43B24">
        <w:rPr>
          <w:rFonts w:ascii="gobCL" w:hAnsi="gobCL"/>
        </w:rPr>
        <w:t>circunstancia de haberse ingresado a trámite una solicitud de cambio o prórroga de visación de</w:t>
      </w:r>
      <w:r>
        <w:rPr>
          <w:rFonts w:ascii="gobCL" w:hAnsi="gobCL"/>
        </w:rPr>
        <w:t xml:space="preserve"> </w:t>
      </w:r>
      <w:r w:rsidRPr="00F43B24">
        <w:rPr>
          <w:rFonts w:ascii="gobCL" w:hAnsi="gobCL"/>
        </w:rPr>
        <w:t>residente o permiso de permanencia definitiva, se acreditará, ante otros particulares o ante</w:t>
      </w:r>
      <w:r>
        <w:rPr>
          <w:rFonts w:ascii="gobCL" w:hAnsi="gobCL"/>
        </w:rPr>
        <w:t xml:space="preserve"> </w:t>
      </w:r>
      <w:r w:rsidRPr="00F43B24">
        <w:rPr>
          <w:rFonts w:ascii="gobCL" w:hAnsi="gobCL"/>
        </w:rPr>
        <w:t>organismos públicos, mediante los comprobantes que proporcionen las autoridades mencionadas</w:t>
      </w:r>
      <w:r>
        <w:rPr>
          <w:rFonts w:ascii="gobCL" w:hAnsi="gobCL"/>
        </w:rPr>
        <w:t>.</w:t>
      </w:r>
    </w:p>
    <w:p w:rsidR="00F43B24" w:rsidRDefault="00F43B24" w:rsidP="0079274E">
      <w:pPr>
        <w:pStyle w:val="Prrafodelista"/>
        <w:ind w:left="1068"/>
        <w:jc w:val="both"/>
        <w:rPr>
          <w:rFonts w:ascii="gobCL" w:hAnsi="gobCL"/>
        </w:rPr>
      </w:pPr>
    </w:p>
    <w:p w:rsidR="00F1111C" w:rsidRPr="004C06C2" w:rsidRDefault="00F43B24" w:rsidP="0079274E">
      <w:pPr>
        <w:pStyle w:val="Prrafodelista"/>
        <w:numPr>
          <w:ilvl w:val="0"/>
          <w:numId w:val="7"/>
        </w:numPr>
        <w:jc w:val="both"/>
        <w:rPr>
          <w:rFonts w:ascii="gobCL" w:hAnsi="gobCL"/>
        </w:rPr>
      </w:pPr>
      <w:r>
        <w:rPr>
          <w:rFonts w:ascii="gobCL" w:hAnsi="gobCL"/>
        </w:rPr>
        <w:t>Se informa que las personas naturales, chilenas o extranjeras, que deseen participar, deben cumplir con</w:t>
      </w:r>
      <w:r w:rsidR="004C06C2">
        <w:rPr>
          <w:rFonts w:ascii="gobCL" w:hAnsi="gobCL"/>
        </w:rPr>
        <w:t xml:space="preserve"> todos</w:t>
      </w:r>
      <w:r>
        <w:rPr>
          <w:rFonts w:ascii="gobCL" w:hAnsi="gobCL"/>
        </w:rPr>
        <w:t xml:space="preserve"> los requisitos señalados en las bases de licitación respectiva. Tratándose de Subastas de Licencias Transables de Pesca Clase B, el cumplimiento de los requisitos</w:t>
      </w:r>
      <w:r w:rsidR="004C06C2">
        <w:rPr>
          <w:rFonts w:ascii="gobCL" w:hAnsi="gobCL"/>
        </w:rPr>
        <w:t xml:space="preserve"> del artículo 4° literal a) del Reglamento</w:t>
      </w:r>
      <w:r>
        <w:rPr>
          <w:rFonts w:ascii="gobCL" w:hAnsi="gobCL"/>
        </w:rPr>
        <w:t xml:space="preserve"> podrá hacerse acompañando </w:t>
      </w:r>
      <w:r w:rsidRPr="0079274E">
        <w:rPr>
          <w:rFonts w:ascii="gobCL" w:hAnsi="gobCL"/>
          <w:b/>
        </w:rPr>
        <w:t>copia simple de la cédula de identidad vigente</w:t>
      </w:r>
      <w:r>
        <w:rPr>
          <w:rFonts w:ascii="gobCL" w:hAnsi="gobCL"/>
        </w:rPr>
        <w:t>, teniendo en consideración las prevenciones antes indicadas.</w:t>
      </w:r>
    </w:p>
    <w:sectPr w:rsidR="00F1111C" w:rsidRPr="004C06C2" w:rsidSect="0079274E">
      <w:pgSz w:w="12240" w:h="15840" w:code="1"/>
      <w:pgMar w:top="851" w:right="1191" w:bottom="2552" w:left="21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1704"/>
    <w:multiLevelType w:val="multilevel"/>
    <w:tmpl w:val="9596F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obCL" w:eastAsiaTheme="minorHAnsi" w:hAnsi="gobCL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52DBD"/>
    <w:multiLevelType w:val="hybridMultilevel"/>
    <w:tmpl w:val="B960177A"/>
    <w:lvl w:ilvl="0" w:tplc="340A0017">
      <w:start w:val="1"/>
      <w:numFmt w:val="lowerLetter"/>
      <w:lvlText w:val="%1)"/>
      <w:lvlJc w:val="left"/>
      <w:pPr>
        <w:ind w:left="1854" w:hanging="360"/>
      </w:p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1C368BE"/>
    <w:multiLevelType w:val="hybridMultilevel"/>
    <w:tmpl w:val="E126267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1B34"/>
    <w:multiLevelType w:val="hybridMultilevel"/>
    <w:tmpl w:val="745EAC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E08C1"/>
    <w:multiLevelType w:val="hybridMultilevel"/>
    <w:tmpl w:val="896A14AA"/>
    <w:lvl w:ilvl="0" w:tplc="A7C23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AA4B94"/>
    <w:multiLevelType w:val="hybridMultilevel"/>
    <w:tmpl w:val="B88EB652"/>
    <w:lvl w:ilvl="0" w:tplc="7EBC8A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D719E4"/>
    <w:multiLevelType w:val="hybridMultilevel"/>
    <w:tmpl w:val="C3506DCE"/>
    <w:lvl w:ilvl="0" w:tplc="12BADE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A7"/>
    <w:rsid w:val="000375A0"/>
    <w:rsid w:val="000C1AA7"/>
    <w:rsid w:val="00167559"/>
    <w:rsid w:val="001B332A"/>
    <w:rsid w:val="00250C24"/>
    <w:rsid w:val="0037712D"/>
    <w:rsid w:val="003907DB"/>
    <w:rsid w:val="003D19C0"/>
    <w:rsid w:val="0040119E"/>
    <w:rsid w:val="004C06C2"/>
    <w:rsid w:val="0053584B"/>
    <w:rsid w:val="00613795"/>
    <w:rsid w:val="00633CA9"/>
    <w:rsid w:val="0065721B"/>
    <w:rsid w:val="00676BDC"/>
    <w:rsid w:val="006E0BF6"/>
    <w:rsid w:val="0079274E"/>
    <w:rsid w:val="0083131D"/>
    <w:rsid w:val="0086567F"/>
    <w:rsid w:val="008F3B61"/>
    <w:rsid w:val="009043C0"/>
    <w:rsid w:val="00963E98"/>
    <w:rsid w:val="00992C1B"/>
    <w:rsid w:val="009C7F27"/>
    <w:rsid w:val="00B041BD"/>
    <w:rsid w:val="00B05871"/>
    <w:rsid w:val="00B35AB8"/>
    <w:rsid w:val="00B749C1"/>
    <w:rsid w:val="00BB1925"/>
    <w:rsid w:val="00BD0557"/>
    <w:rsid w:val="00BF69A5"/>
    <w:rsid w:val="00C0263D"/>
    <w:rsid w:val="00C24EF9"/>
    <w:rsid w:val="00CA049B"/>
    <w:rsid w:val="00CF1478"/>
    <w:rsid w:val="00CF3AA0"/>
    <w:rsid w:val="00E07DF2"/>
    <w:rsid w:val="00E2571D"/>
    <w:rsid w:val="00E42460"/>
    <w:rsid w:val="00E941C0"/>
    <w:rsid w:val="00F1111C"/>
    <w:rsid w:val="00F43B24"/>
    <w:rsid w:val="00F603E8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11C8"/>
  <w15:docId w15:val="{DCDB1103-49E4-4947-8C03-8766F3C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AA7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Luis Orellana</cp:lastModifiedBy>
  <cp:revision>3</cp:revision>
  <dcterms:created xsi:type="dcterms:W3CDTF">2020-11-27T14:50:00Z</dcterms:created>
  <dcterms:modified xsi:type="dcterms:W3CDTF">2020-11-27T14:52:00Z</dcterms:modified>
</cp:coreProperties>
</file>