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A7" w:rsidRPr="000C1AA7" w:rsidRDefault="000C1AA7" w:rsidP="00F603E8">
      <w:pPr>
        <w:pStyle w:val="Prrafodelista"/>
        <w:jc w:val="both"/>
        <w:rPr>
          <w:rFonts w:ascii="gobCL" w:hAnsi="gobCL"/>
          <w:b/>
          <w:u w:val="single"/>
        </w:rPr>
      </w:pPr>
      <w:bookmarkStart w:id="0" w:name="_GoBack"/>
      <w:bookmarkEnd w:id="0"/>
      <w:r w:rsidRPr="000C1AA7">
        <w:rPr>
          <w:rFonts w:ascii="gobCL" w:hAnsi="gobCL"/>
          <w:b/>
          <w:u w:val="single"/>
        </w:rPr>
        <w:t>ACLARACIONES A BASES ADMINISTRATIVAS SUBASTA LICENCIA TRANSABLE DE PESCA TIPO B</w:t>
      </w:r>
    </w:p>
    <w:p w:rsidR="000C1AA7" w:rsidRPr="000C1AA7" w:rsidRDefault="000C1AA7" w:rsidP="00F603E8">
      <w:pPr>
        <w:pStyle w:val="Prrafodelista"/>
        <w:jc w:val="both"/>
        <w:rPr>
          <w:rFonts w:ascii="gobCL" w:hAnsi="gobCL"/>
          <w:b/>
        </w:rPr>
      </w:pPr>
    </w:p>
    <w:p w:rsidR="000C1AA7" w:rsidRPr="000C1AA7" w:rsidRDefault="000C1AA7" w:rsidP="00F603E8">
      <w:pPr>
        <w:ind w:left="708"/>
        <w:jc w:val="both"/>
        <w:rPr>
          <w:rFonts w:ascii="gobCL" w:hAnsi="gobCL"/>
        </w:rPr>
      </w:pPr>
      <w:r w:rsidRPr="000C1AA7">
        <w:rPr>
          <w:rFonts w:ascii="gobCL" w:hAnsi="gobCL"/>
          <w:b/>
        </w:rPr>
        <w:t xml:space="preserve">Aclaraciones a las bases dirigidas al correo electrónico </w:t>
      </w:r>
      <w:hyperlink r:id="rId6" w:history="1">
        <w:r w:rsidRPr="000C1AA7">
          <w:rPr>
            <w:rFonts w:ascii="gobCL" w:hAnsi="gobCL"/>
            <w:b/>
          </w:rPr>
          <w:t>subastapublica@subpesca.cl</w:t>
        </w:r>
      </w:hyperlink>
      <w:r w:rsidRPr="000C1AA7">
        <w:rPr>
          <w:rFonts w:ascii="gobCL" w:hAnsi="gobCL"/>
          <w:b/>
        </w:rPr>
        <w:t xml:space="preserve"> a la fecha de 2</w:t>
      </w:r>
      <w:r w:rsidR="00B749C1">
        <w:rPr>
          <w:rFonts w:ascii="gobCL" w:hAnsi="gobCL"/>
          <w:b/>
        </w:rPr>
        <w:t>5</w:t>
      </w:r>
      <w:r w:rsidRPr="000C1AA7">
        <w:rPr>
          <w:rFonts w:ascii="gobCL" w:hAnsi="gobCL"/>
          <w:b/>
        </w:rPr>
        <w:t xml:space="preserve"> noviembre de 2020, según el orden de llegada y dentro del plazo de 3 días hábiles administrativos</w:t>
      </w:r>
      <w:r w:rsidR="00E07DF2">
        <w:rPr>
          <w:rFonts w:ascii="gobCL" w:hAnsi="gobCL"/>
          <w:b/>
        </w:rPr>
        <w:t>.</w:t>
      </w:r>
    </w:p>
    <w:p w:rsidR="00B20FD5" w:rsidRPr="00B20FD5" w:rsidRDefault="00B20FD5" w:rsidP="00B20FD5">
      <w:pPr>
        <w:ind w:left="708"/>
        <w:jc w:val="both"/>
        <w:rPr>
          <w:rFonts w:ascii="gobCL" w:hAnsi="gobCL"/>
        </w:rPr>
      </w:pPr>
      <w:r>
        <w:rPr>
          <w:rFonts w:ascii="gobCL" w:hAnsi="gobCL"/>
        </w:rPr>
        <w:t xml:space="preserve">10. </w:t>
      </w:r>
      <w:proofErr w:type="gramStart"/>
      <w:r>
        <w:rPr>
          <w:rFonts w:ascii="gobCL" w:hAnsi="gobCL"/>
        </w:rPr>
        <w:t>¿ U</w:t>
      </w:r>
      <w:r w:rsidRPr="00B20FD5">
        <w:rPr>
          <w:rFonts w:ascii="gobCL" w:hAnsi="gobCL"/>
        </w:rPr>
        <w:t>na</w:t>
      </w:r>
      <w:proofErr w:type="gramEnd"/>
      <w:r w:rsidRPr="00B20FD5">
        <w:rPr>
          <w:rFonts w:ascii="gobCL" w:hAnsi="gobCL"/>
        </w:rPr>
        <w:t xml:space="preserve"> persona jurídica</w:t>
      </w:r>
      <w:r>
        <w:rPr>
          <w:rFonts w:ascii="gobCL" w:hAnsi="gobCL"/>
        </w:rPr>
        <w:t xml:space="preserve"> </w:t>
      </w:r>
      <w:r w:rsidRPr="00B20FD5">
        <w:rPr>
          <w:rFonts w:ascii="gobCL" w:hAnsi="gobCL"/>
        </w:rPr>
        <w:t>EIRL est</w:t>
      </w:r>
      <w:r w:rsidRPr="00B20FD5">
        <w:rPr>
          <w:rFonts w:ascii="gobCL" w:hAnsi="gobCL" w:cs="gobCL"/>
        </w:rPr>
        <w:t>á</w:t>
      </w:r>
      <w:r w:rsidRPr="00B20FD5">
        <w:rPr>
          <w:rFonts w:ascii="gobCL" w:hAnsi="gobCL"/>
        </w:rPr>
        <w:t xml:space="preserve"> participando</w:t>
      </w:r>
      <w:r>
        <w:rPr>
          <w:rFonts w:ascii="Courier New" w:hAnsi="Courier New" w:cs="Courier New"/>
        </w:rPr>
        <w:t xml:space="preserve"> </w:t>
      </w:r>
      <w:r w:rsidRPr="00B20FD5">
        <w:rPr>
          <w:rFonts w:ascii="gobCL" w:hAnsi="gobCL"/>
        </w:rPr>
        <w:t>en subasta Merluza com</w:t>
      </w:r>
      <w:r w:rsidRPr="00B20FD5">
        <w:rPr>
          <w:rFonts w:ascii="gobCL" w:hAnsi="gobCL" w:cs="gobCL"/>
        </w:rPr>
        <w:t>ú</w:t>
      </w:r>
      <w:r w:rsidRPr="00B20FD5">
        <w:rPr>
          <w:rFonts w:ascii="gobCL" w:hAnsi="gobCL"/>
        </w:rPr>
        <w:t>n</w:t>
      </w:r>
      <w:r>
        <w:rPr>
          <w:rFonts w:ascii="gobCL" w:hAnsi="gobCL"/>
        </w:rPr>
        <w:t xml:space="preserve"> </w:t>
      </w:r>
      <w:r w:rsidRPr="00B20FD5">
        <w:rPr>
          <w:rFonts w:ascii="gobCL" w:hAnsi="gobCL"/>
        </w:rPr>
        <w:t>resoluci</w:t>
      </w:r>
      <w:r w:rsidRPr="00B20FD5">
        <w:rPr>
          <w:rFonts w:ascii="gobCL" w:hAnsi="gobCL" w:cs="gobCL"/>
        </w:rPr>
        <w:t>ó</w:t>
      </w:r>
      <w:r w:rsidRPr="00B20FD5">
        <w:rPr>
          <w:rFonts w:ascii="gobCL" w:hAnsi="gobCL"/>
        </w:rPr>
        <w:t>n bases 2472-20 , puede participar en subasta merluza resignaci</w:t>
      </w:r>
      <w:r w:rsidRPr="00B20FD5">
        <w:rPr>
          <w:rFonts w:ascii="gobCL" w:hAnsi="gobCL" w:cs="gobCL"/>
        </w:rPr>
        <w:t>ó</w:t>
      </w:r>
      <w:r w:rsidRPr="00B20FD5">
        <w:rPr>
          <w:rFonts w:ascii="gobCL" w:hAnsi="gobCL"/>
        </w:rPr>
        <w:t>n resoluci</w:t>
      </w:r>
      <w:r w:rsidRPr="00B20FD5">
        <w:rPr>
          <w:rFonts w:ascii="gobCL" w:hAnsi="gobCL" w:cs="gobCL"/>
        </w:rPr>
        <w:t>ó</w:t>
      </w:r>
      <w:r w:rsidRPr="00B20FD5">
        <w:rPr>
          <w:rFonts w:ascii="gobCL" w:hAnsi="gobCL"/>
        </w:rPr>
        <w:t>n bases 2470-20, actuando en esta última como persona natural ?</w:t>
      </w:r>
    </w:p>
    <w:p w:rsidR="00B20FD5" w:rsidRDefault="00B20FD5" w:rsidP="00B20FD5">
      <w:pPr>
        <w:ind w:left="708"/>
        <w:jc w:val="both"/>
        <w:rPr>
          <w:rFonts w:ascii="gobCL" w:hAnsi="gobCL"/>
          <w:b/>
          <w:color w:val="1F497D" w:themeColor="text2"/>
        </w:rPr>
      </w:pPr>
      <w:r>
        <w:rPr>
          <w:rFonts w:ascii="gobCL" w:hAnsi="gobCL"/>
          <w:b/>
          <w:color w:val="1F497D" w:themeColor="text2"/>
        </w:rPr>
        <w:t>La consulta dice relación con dos subastas distintas, por lo que</w:t>
      </w:r>
      <w:r w:rsidRPr="00B20FD5">
        <w:rPr>
          <w:rFonts w:ascii="gobCL" w:hAnsi="gobCL"/>
          <w:b/>
          <w:color w:val="1F497D" w:themeColor="text2"/>
        </w:rPr>
        <w:t xml:space="preserve"> debe</w:t>
      </w:r>
      <w:r>
        <w:rPr>
          <w:rFonts w:ascii="gobCL" w:hAnsi="gobCL"/>
          <w:b/>
          <w:color w:val="1F497D" w:themeColor="text2"/>
        </w:rPr>
        <w:t>n</w:t>
      </w:r>
      <w:r w:rsidRPr="00B20FD5">
        <w:rPr>
          <w:rFonts w:ascii="gobCL" w:hAnsi="gobCL"/>
          <w:b/>
          <w:color w:val="1F497D" w:themeColor="text2"/>
        </w:rPr>
        <w:t xml:space="preserve"> presentar los sobres respectivos para cada proceso, i</w:t>
      </w:r>
      <w:r>
        <w:rPr>
          <w:rFonts w:ascii="gobCL" w:hAnsi="gobCL"/>
          <w:b/>
          <w:color w:val="1F497D" w:themeColor="text2"/>
        </w:rPr>
        <w:t xml:space="preserve">ndividualizándolo correctamente. </w:t>
      </w:r>
      <w:r w:rsidR="00BE4DCE">
        <w:rPr>
          <w:rFonts w:ascii="gobCL" w:hAnsi="gobCL"/>
          <w:b/>
          <w:color w:val="1F497D" w:themeColor="text2"/>
        </w:rPr>
        <w:t>L</w:t>
      </w:r>
      <w:r>
        <w:rPr>
          <w:rFonts w:ascii="gobCL" w:hAnsi="gobCL"/>
          <w:b/>
          <w:color w:val="1F497D" w:themeColor="text2"/>
        </w:rPr>
        <w:t>a restricción del máximo de 40% de adjudicación</w:t>
      </w:r>
      <w:r w:rsidR="005F5859">
        <w:rPr>
          <w:rFonts w:ascii="gobCL" w:hAnsi="gobCL"/>
          <w:b/>
          <w:color w:val="1F497D" w:themeColor="text2"/>
        </w:rPr>
        <w:t xml:space="preserve"> </w:t>
      </w:r>
      <w:r w:rsidR="00BE4DCE">
        <w:rPr>
          <w:rFonts w:ascii="gobCL" w:hAnsi="gobCL"/>
          <w:b/>
          <w:color w:val="1F497D" w:themeColor="text2"/>
        </w:rPr>
        <w:t>operará para cada proceso por separado, en conformidad al Reglamento</w:t>
      </w:r>
      <w:r w:rsidR="005F5859">
        <w:rPr>
          <w:rFonts w:ascii="gobCL" w:hAnsi="gobCL"/>
          <w:b/>
          <w:color w:val="1F497D" w:themeColor="text2"/>
        </w:rPr>
        <w:t>.</w:t>
      </w:r>
      <w:r w:rsidR="00BE4DCE">
        <w:rPr>
          <w:rFonts w:ascii="gobCL" w:hAnsi="gobCL"/>
          <w:b/>
          <w:color w:val="1F497D" w:themeColor="text2"/>
        </w:rPr>
        <w:t xml:space="preserve"> En el caso de la subasta de reasignación de merluza común, se considerarán los lotes adjudicados en la subasta ordinaria que da origen a dicho proceso.</w:t>
      </w:r>
    </w:p>
    <w:p w:rsidR="00B20FD5" w:rsidRDefault="00B20FD5" w:rsidP="00B20FD5">
      <w:pPr>
        <w:ind w:left="708"/>
        <w:jc w:val="both"/>
        <w:rPr>
          <w:rFonts w:ascii="gobCL" w:hAnsi="gobCL"/>
          <w:b/>
          <w:color w:val="1F497D" w:themeColor="text2"/>
        </w:rPr>
      </w:pPr>
      <w:r w:rsidRPr="00B20FD5">
        <w:rPr>
          <w:rFonts w:ascii="gobCL" w:hAnsi="gobCL"/>
          <w:b/>
          <w:color w:val="1F497D" w:themeColor="text2"/>
        </w:rPr>
        <w:t>Una empresa de menor tamaño puede postular a los lotes reservados y a los lotes sin restricción de oferente, siempre que el monto de sus garantías lo permita</w:t>
      </w:r>
      <w:r w:rsidR="00BE4DCE">
        <w:rPr>
          <w:rFonts w:ascii="gobCL" w:hAnsi="gobCL"/>
          <w:b/>
          <w:color w:val="1F497D" w:themeColor="text2"/>
        </w:rPr>
        <w:t xml:space="preserve"> y respetando el límite de adjudicación del 40%</w:t>
      </w:r>
      <w:r w:rsidRPr="00B20FD5">
        <w:rPr>
          <w:rFonts w:ascii="gobCL" w:hAnsi="gobCL"/>
          <w:b/>
          <w:color w:val="1F497D" w:themeColor="text2"/>
        </w:rPr>
        <w:t>.</w:t>
      </w:r>
    </w:p>
    <w:p w:rsidR="00BE4DCE" w:rsidRPr="00B20FD5" w:rsidRDefault="00BE4DCE" w:rsidP="00B20FD5">
      <w:pPr>
        <w:ind w:left="708"/>
        <w:jc w:val="both"/>
        <w:rPr>
          <w:rFonts w:ascii="gobCL" w:hAnsi="gobCL"/>
          <w:b/>
          <w:color w:val="1F497D" w:themeColor="text2"/>
        </w:rPr>
      </w:pPr>
      <w:r>
        <w:rPr>
          <w:rFonts w:ascii="gobCL" w:hAnsi="gobCL"/>
          <w:b/>
          <w:color w:val="1F497D" w:themeColor="text2"/>
        </w:rPr>
        <w:t>Se hace presente al oferente que debe dar cumplimiento al deber de informar personas relacionadas directa o indirectamente, conforme al artículo 8 literal iv) del Reglamento.</w:t>
      </w:r>
    </w:p>
    <w:sectPr w:rsidR="00BE4DCE" w:rsidRPr="00B20FD5" w:rsidSect="0083131D">
      <w:pgSz w:w="12240" w:h="18720" w:code="14"/>
      <w:pgMar w:top="851" w:right="1191" w:bottom="2552" w:left="21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1704"/>
    <w:multiLevelType w:val="multilevel"/>
    <w:tmpl w:val="9596F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obCL" w:eastAsiaTheme="minorHAnsi" w:hAnsi="gobCL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52DBD"/>
    <w:multiLevelType w:val="hybridMultilevel"/>
    <w:tmpl w:val="B960177A"/>
    <w:lvl w:ilvl="0" w:tplc="340A0017">
      <w:start w:val="1"/>
      <w:numFmt w:val="lowerLetter"/>
      <w:lvlText w:val="%1)"/>
      <w:lvlJc w:val="left"/>
      <w:pPr>
        <w:ind w:left="1854" w:hanging="360"/>
      </w:p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1C368BE"/>
    <w:multiLevelType w:val="hybridMultilevel"/>
    <w:tmpl w:val="E126267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01B34"/>
    <w:multiLevelType w:val="hybridMultilevel"/>
    <w:tmpl w:val="745EAC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E08C1"/>
    <w:multiLevelType w:val="hybridMultilevel"/>
    <w:tmpl w:val="896A14AA"/>
    <w:lvl w:ilvl="0" w:tplc="A7C23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AA4B94"/>
    <w:multiLevelType w:val="hybridMultilevel"/>
    <w:tmpl w:val="B88EB652"/>
    <w:lvl w:ilvl="0" w:tplc="7EBC8A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A7"/>
    <w:rsid w:val="000375A0"/>
    <w:rsid w:val="000B0F2F"/>
    <w:rsid w:val="000C1AA7"/>
    <w:rsid w:val="00167559"/>
    <w:rsid w:val="001B332A"/>
    <w:rsid w:val="00250C24"/>
    <w:rsid w:val="003D19C0"/>
    <w:rsid w:val="0053584B"/>
    <w:rsid w:val="005C4E55"/>
    <w:rsid w:val="005F5859"/>
    <w:rsid w:val="00613795"/>
    <w:rsid w:val="00633CA9"/>
    <w:rsid w:val="0065721B"/>
    <w:rsid w:val="006E0BF6"/>
    <w:rsid w:val="0083131D"/>
    <w:rsid w:val="0086567F"/>
    <w:rsid w:val="008F3B61"/>
    <w:rsid w:val="009043C0"/>
    <w:rsid w:val="00963E98"/>
    <w:rsid w:val="00992C1B"/>
    <w:rsid w:val="009C7F27"/>
    <w:rsid w:val="00B041BD"/>
    <w:rsid w:val="00B05871"/>
    <w:rsid w:val="00B20FD5"/>
    <w:rsid w:val="00B35AB8"/>
    <w:rsid w:val="00B749C1"/>
    <w:rsid w:val="00BE4DCE"/>
    <w:rsid w:val="00BF69A5"/>
    <w:rsid w:val="00C0263D"/>
    <w:rsid w:val="00C24EF9"/>
    <w:rsid w:val="00E07DF2"/>
    <w:rsid w:val="00E2571D"/>
    <w:rsid w:val="00E42460"/>
    <w:rsid w:val="00F603E8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AA7"/>
    <w:pPr>
      <w:spacing w:after="0" w:line="240" w:lineRule="auto"/>
      <w:ind w:left="720"/>
    </w:pPr>
    <w:rPr>
      <w:rFonts w:ascii="Calibri" w:hAnsi="Calibri" w:cs="Times New Roman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AA7"/>
    <w:pPr>
      <w:spacing w:after="0" w:line="240" w:lineRule="auto"/>
      <w:ind w:left="720"/>
    </w:pPr>
    <w:rPr>
      <w:rFonts w:ascii="Calibri" w:hAnsi="Calibri" w:cs="Times New Roman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astapublica@subpesc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1135</Characters>
  <Application>Microsoft Office Word</Application>
  <DocSecurity>4</DocSecurity>
  <Lines>45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2</cp:revision>
  <dcterms:created xsi:type="dcterms:W3CDTF">2020-11-27T14:22:00Z</dcterms:created>
  <dcterms:modified xsi:type="dcterms:W3CDTF">2020-11-27T14:22:00Z</dcterms:modified>
</cp:coreProperties>
</file>