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A7" w:rsidRPr="000C1AA7" w:rsidRDefault="000C1AA7" w:rsidP="000C1AA7">
      <w:pPr>
        <w:pStyle w:val="Prrafodelista"/>
        <w:jc w:val="both"/>
        <w:rPr>
          <w:rFonts w:ascii="gobCL" w:hAnsi="gobCL"/>
          <w:b/>
          <w:u w:val="single"/>
        </w:rPr>
      </w:pPr>
      <w:r w:rsidRPr="000C1AA7">
        <w:rPr>
          <w:rFonts w:ascii="gobCL" w:hAnsi="gobCL"/>
          <w:b/>
          <w:u w:val="single"/>
        </w:rPr>
        <w:t>ACLARACIONES A BASES ADMINISTRATIVAS SUBASTA LICENCIA TRANSABLE DE PESCA TIPO B</w:t>
      </w:r>
    </w:p>
    <w:p w:rsidR="000C1AA7" w:rsidRPr="000C1AA7" w:rsidRDefault="000C1AA7" w:rsidP="000C1AA7">
      <w:pPr>
        <w:pStyle w:val="Prrafodelista"/>
        <w:jc w:val="both"/>
        <w:rPr>
          <w:rFonts w:ascii="gobCL" w:hAnsi="gobCL"/>
          <w:b/>
        </w:rPr>
      </w:pPr>
    </w:p>
    <w:p w:rsidR="000C1AA7" w:rsidRPr="000C1AA7" w:rsidRDefault="000C1AA7" w:rsidP="000C1AA7">
      <w:pPr>
        <w:ind w:left="708"/>
        <w:jc w:val="both"/>
        <w:rPr>
          <w:rFonts w:ascii="gobCL" w:hAnsi="gobCL"/>
        </w:rPr>
      </w:pPr>
      <w:r w:rsidRPr="000C1AA7">
        <w:rPr>
          <w:rFonts w:ascii="gobCL" w:hAnsi="gobCL"/>
          <w:b/>
        </w:rPr>
        <w:t xml:space="preserve">Aclaraciones a las bases dirigidas al correo electrónico </w:t>
      </w:r>
      <w:hyperlink r:id="rId5" w:history="1">
        <w:r w:rsidRPr="000C1AA7">
          <w:rPr>
            <w:rFonts w:ascii="gobCL" w:hAnsi="gobCL"/>
            <w:b/>
          </w:rPr>
          <w:t>subastapublica@subpesca.cl</w:t>
        </w:r>
      </w:hyperlink>
      <w:r w:rsidRPr="000C1AA7">
        <w:rPr>
          <w:rFonts w:ascii="gobCL" w:hAnsi="gobCL"/>
          <w:b/>
        </w:rPr>
        <w:t xml:space="preserve"> a la fecha de 2</w:t>
      </w:r>
      <w:r w:rsidR="000375A0">
        <w:rPr>
          <w:rFonts w:ascii="gobCL" w:hAnsi="gobCL"/>
          <w:b/>
        </w:rPr>
        <w:t>4</w:t>
      </w:r>
      <w:r w:rsidRPr="000C1AA7">
        <w:rPr>
          <w:rFonts w:ascii="gobCL" w:hAnsi="gobCL"/>
          <w:b/>
        </w:rPr>
        <w:t xml:space="preserve"> noviembre de 2020, según el orden de llegada y dentro del plazo de 3 días hábiles administrativos</w:t>
      </w:r>
      <w:r w:rsidR="00E07DF2">
        <w:rPr>
          <w:rFonts w:ascii="gobCL" w:hAnsi="gobCL"/>
          <w:b/>
        </w:rPr>
        <w:t>.</w:t>
      </w:r>
    </w:p>
    <w:p w:rsidR="000C1AA7" w:rsidRPr="000C1AA7" w:rsidRDefault="000C1AA7" w:rsidP="000C1AA7">
      <w:pPr>
        <w:ind w:left="708"/>
        <w:jc w:val="both"/>
        <w:rPr>
          <w:rFonts w:ascii="gobCL" w:hAnsi="gobCL"/>
        </w:rPr>
      </w:pPr>
      <w:r w:rsidRPr="000C1AA7">
        <w:rPr>
          <w:rFonts w:ascii="gobCL" w:hAnsi="gobCL"/>
        </w:rPr>
        <w:t>1. Con relación a la subasta pública de recursos pesqueros varios, es necesario para participar precisar lo siguiente:</w:t>
      </w:r>
    </w:p>
    <w:p w:rsidR="000C1AA7" w:rsidRPr="000C1AA7" w:rsidRDefault="000C1AA7" w:rsidP="000C1AA7">
      <w:pPr>
        <w:ind w:left="708"/>
        <w:jc w:val="both"/>
        <w:rPr>
          <w:rFonts w:ascii="gobCL" w:hAnsi="gobCL"/>
        </w:rPr>
      </w:pPr>
      <w:r w:rsidRPr="000C1AA7">
        <w:rPr>
          <w:rFonts w:ascii="gobCL" w:hAnsi="gobCL"/>
        </w:rPr>
        <w:t>a)  Una vez adjudicada una partida en subasta pública: Cuánto tiempo habilito su extracción y cómo procede su conteo en ese periodo.</w:t>
      </w:r>
    </w:p>
    <w:p w:rsidR="000C1AA7" w:rsidRPr="000C1AA7" w:rsidRDefault="000C1AA7" w:rsidP="000C1AA7">
      <w:pPr>
        <w:jc w:val="both"/>
        <w:rPr>
          <w:rFonts w:ascii="gobCL" w:hAnsi="gobCL"/>
        </w:rPr>
      </w:pPr>
    </w:p>
    <w:p w:rsidR="000C1AA7" w:rsidRPr="000C1AA7" w:rsidRDefault="000C1AA7" w:rsidP="000C1AA7">
      <w:pPr>
        <w:ind w:left="708"/>
        <w:jc w:val="both"/>
        <w:rPr>
          <w:rFonts w:ascii="gobCL" w:hAnsi="gobCL"/>
          <w:b/>
          <w:color w:val="1F497D" w:themeColor="text2"/>
        </w:rPr>
      </w:pPr>
      <w:r w:rsidRPr="000C1AA7">
        <w:rPr>
          <w:rFonts w:ascii="gobCL" w:hAnsi="gobCL"/>
          <w:b/>
          <w:color w:val="1F497D" w:themeColor="text2"/>
        </w:rPr>
        <w:t>Los lotes renunciados de merluza común corresponden a aquellos otorgados con fecha 31 de enero de 2019. La duración de las licencias transables de pesca clase B en virtud del artículo 27 de la Ley General de Pesca y Acuicultura es de 20 años. Por lo que la vigencia de estos lotes subastados se extenderá por lo que resta de dicho periodo, hasta el 31 de enero de 2039.</w:t>
      </w:r>
    </w:p>
    <w:p w:rsidR="000C1AA7" w:rsidRPr="000C1AA7" w:rsidRDefault="000C1AA7" w:rsidP="000C1AA7">
      <w:pPr>
        <w:jc w:val="both"/>
        <w:rPr>
          <w:rFonts w:ascii="gobCL" w:hAnsi="gobCL"/>
        </w:rPr>
      </w:pPr>
    </w:p>
    <w:p w:rsidR="000C1AA7" w:rsidRPr="000C1AA7" w:rsidRDefault="000C1AA7" w:rsidP="000C1AA7">
      <w:pPr>
        <w:ind w:left="709"/>
        <w:jc w:val="both"/>
        <w:rPr>
          <w:rFonts w:ascii="gobCL" w:hAnsi="gobCL"/>
        </w:rPr>
      </w:pPr>
      <w:r>
        <w:rPr>
          <w:rFonts w:ascii="gobCL" w:hAnsi="gobCL"/>
        </w:rPr>
        <w:t xml:space="preserve">2. </w:t>
      </w:r>
      <w:r w:rsidRPr="000C1AA7">
        <w:rPr>
          <w:rFonts w:ascii="gobCL" w:hAnsi="gobCL"/>
        </w:rPr>
        <w:t xml:space="preserve">Con relación al recurso Merluza gayi: Qué porcentaje se considera como fauna acompañante de los recursos naturales de esta especie (camarón, </w:t>
      </w:r>
      <w:proofErr w:type="gramStart"/>
      <w:r w:rsidRPr="000C1AA7">
        <w:rPr>
          <w:rFonts w:ascii="gobCL" w:hAnsi="gobCL"/>
        </w:rPr>
        <w:t>langostinos amarillo</w:t>
      </w:r>
      <w:proofErr w:type="gramEnd"/>
      <w:r w:rsidRPr="000C1AA7">
        <w:rPr>
          <w:rFonts w:ascii="gobCL" w:hAnsi="gobCL"/>
        </w:rPr>
        <w:t xml:space="preserve"> y rojo, merluza de cola, otros que se capturen)</w:t>
      </w:r>
    </w:p>
    <w:p w:rsidR="00FE2116" w:rsidRDefault="00FE2116" w:rsidP="000C1AA7">
      <w:pPr>
        <w:ind w:left="708" w:firstLine="1"/>
        <w:jc w:val="both"/>
        <w:rPr>
          <w:rFonts w:ascii="gobCL" w:hAnsi="gobCL"/>
          <w:b/>
          <w:color w:val="1F497D" w:themeColor="text2"/>
        </w:rPr>
      </w:pPr>
    </w:p>
    <w:p w:rsidR="000C1AA7" w:rsidRPr="000C1AA7" w:rsidRDefault="000C1AA7" w:rsidP="000C1AA7">
      <w:pPr>
        <w:ind w:left="708" w:firstLine="1"/>
        <w:jc w:val="both"/>
        <w:rPr>
          <w:rFonts w:ascii="gobCL" w:hAnsi="gobCL"/>
          <w:b/>
          <w:color w:val="1F497D" w:themeColor="text2"/>
        </w:rPr>
      </w:pPr>
      <w:r>
        <w:rPr>
          <w:rFonts w:ascii="gobCL" w:hAnsi="gobCL"/>
          <w:b/>
          <w:color w:val="1F497D" w:themeColor="text2"/>
        </w:rPr>
        <w:t>La R</w:t>
      </w:r>
      <w:r w:rsidRPr="000C1AA7">
        <w:rPr>
          <w:rFonts w:ascii="gobCL" w:hAnsi="gobCL"/>
          <w:b/>
          <w:color w:val="1F497D" w:themeColor="text2"/>
        </w:rPr>
        <w:t xml:space="preserve">esolución </w:t>
      </w:r>
      <w:r>
        <w:rPr>
          <w:rFonts w:ascii="gobCL" w:hAnsi="gobCL"/>
          <w:b/>
          <w:color w:val="1F497D" w:themeColor="text2"/>
        </w:rPr>
        <w:t xml:space="preserve">Exenta de esta Subsecretaría de Pesca y Acuicultura </w:t>
      </w:r>
      <w:r w:rsidRPr="000C1AA7">
        <w:rPr>
          <w:rFonts w:ascii="gobCL" w:hAnsi="gobCL"/>
          <w:b/>
          <w:color w:val="1F497D" w:themeColor="text2"/>
        </w:rPr>
        <w:t>que establece dichos po</w:t>
      </w:r>
      <w:r>
        <w:rPr>
          <w:rFonts w:ascii="gobCL" w:hAnsi="gobCL"/>
          <w:b/>
          <w:color w:val="1F497D" w:themeColor="text2"/>
        </w:rPr>
        <w:t xml:space="preserve">rcentajes </w:t>
      </w:r>
      <w:r w:rsidR="00FE2116">
        <w:rPr>
          <w:rFonts w:ascii="gobCL" w:hAnsi="gobCL"/>
          <w:b/>
          <w:color w:val="1F497D" w:themeColor="text2"/>
        </w:rPr>
        <w:t xml:space="preserve">de fauna asociada </w:t>
      </w:r>
      <w:r>
        <w:rPr>
          <w:rFonts w:ascii="gobCL" w:hAnsi="gobCL"/>
          <w:b/>
          <w:color w:val="1F497D" w:themeColor="text2"/>
        </w:rPr>
        <w:t xml:space="preserve">es la N° 3200 de 2013. </w:t>
      </w:r>
      <w:r w:rsidRPr="000C1AA7">
        <w:rPr>
          <w:rFonts w:ascii="gobCL" w:hAnsi="gobCL"/>
          <w:b/>
          <w:color w:val="1F497D" w:themeColor="text2"/>
        </w:rPr>
        <w:t>En ella se indica</w:t>
      </w:r>
      <w:r>
        <w:rPr>
          <w:rFonts w:ascii="gobCL" w:hAnsi="gobCL"/>
          <w:b/>
          <w:color w:val="1F497D" w:themeColor="text2"/>
        </w:rPr>
        <w:t>n</w:t>
      </w:r>
      <w:r w:rsidRPr="000C1AA7">
        <w:rPr>
          <w:rFonts w:ascii="gobCL" w:hAnsi="gobCL"/>
          <w:b/>
          <w:color w:val="1F497D" w:themeColor="text2"/>
        </w:rPr>
        <w:t xml:space="preserve"> </w:t>
      </w:r>
      <w:r w:rsidR="00FE2116">
        <w:rPr>
          <w:rFonts w:ascii="gobCL" w:hAnsi="gobCL"/>
          <w:b/>
          <w:color w:val="1F497D" w:themeColor="text2"/>
        </w:rPr>
        <w:t xml:space="preserve">que los titulares de licencias </w:t>
      </w:r>
      <w:r w:rsidR="00BF69A5">
        <w:rPr>
          <w:rFonts w:ascii="gobCL" w:hAnsi="gobCL"/>
          <w:b/>
          <w:color w:val="1F497D" w:themeColor="text2"/>
        </w:rPr>
        <w:t>transa</w:t>
      </w:r>
      <w:bookmarkStart w:id="0" w:name="_GoBack"/>
      <w:bookmarkEnd w:id="0"/>
      <w:r w:rsidR="00BF69A5">
        <w:rPr>
          <w:rFonts w:ascii="gobCL" w:hAnsi="gobCL"/>
          <w:b/>
          <w:color w:val="1F497D" w:themeColor="text2"/>
        </w:rPr>
        <w:t xml:space="preserve">bles de pesca </w:t>
      </w:r>
      <w:r w:rsidR="00FE2116">
        <w:rPr>
          <w:rFonts w:ascii="gobCL" w:hAnsi="gobCL"/>
          <w:b/>
          <w:color w:val="1F497D" w:themeColor="text2"/>
        </w:rPr>
        <w:t>de merluza común deberán contar con una licencia o permiso para hacer efectiva su operación de pesca, a lo menos en las proporciones que a continuación se indica, expresado en porcentaje</w:t>
      </w:r>
      <w:r w:rsidRPr="000C1AA7">
        <w:rPr>
          <w:rFonts w:ascii="gobCL" w:hAnsi="gobCL"/>
          <w:b/>
          <w:color w:val="1F497D" w:themeColor="text2"/>
        </w:rPr>
        <w:t>:</w:t>
      </w:r>
    </w:p>
    <w:p w:rsidR="000C1AA7" w:rsidRPr="000C1AA7" w:rsidRDefault="000C1AA7" w:rsidP="000C1AA7">
      <w:pPr>
        <w:ind w:firstLine="709"/>
        <w:jc w:val="both"/>
        <w:rPr>
          <w:rFonts w:ascii="gobCL" w:hAnsi="gobCL"/>
          <w:b/>
          <w:color w:val="1F497D" w:themeColor="text2"/>
        </w:rPr>
      </w:pPr>
      <w:r w:rsidRPr="000C1AA7">
        <w:rPr>
          <w:rFonts w:ascii="gobCL" w:hAnsi="gobCL"/>
          <w:b/>
          <w:color w:val="1F497D" w:themeColor="text2"/>
        </w:rPr>
        <w:t xml:space="preserve">a) Langostino amarillo: </w:t>
      </w:r>
      <w:r w:rsidRPr="000C1AA7">
        <w:rPr>
          <w:rFonts w:ascii="gobCL" w:hAnsi="gobCL"/>
          <w:b/>
          <w:color w:val="1F497D" w:themeColor="text2"/>
        </w:rPr>
        <w:tab/>
        <w:t>0,01</w:t>
      </w:r>
    </w:p>
    <w:p w:rsidR="000C1AA7" w:rsidRPr="000C1AA7" w:rsidRDefault="000C1AA7" w:rsidP="000C1AA7">
      <w:pPr>
        <w:ind w:firstLine="709"/>
        <w:jc w:val="both"/>
        <w:rPr>
          <w:rFonts w:ascii="gobCL" w:hAnsi="gobCL"/>
          <w:b/>
          <w:color w:val="1F497D" w:themeColor="text2"/>
        </w:rPr>
      </w:pPr>
      <w:r w:rsidRPr="000C1AA7">
        <w:rPr>
          <w:rFonts w:ascii="gobCL" w:hAnsi="gobCL"/>
          <w:b/>
          <w:color w:val="1F497D" w:themeColor="text2"/>
        </w:rPr>
        <w:t xml:space="preserve">b) Langostino colorado: </w:t>
      </w:r>
      <w:r w:rsidRPr="000C1AA7">
        <w:rPr>
          <w:rFonts w:ascii="gobCL" w:hAnsi="gobCL"/>
          <w:b/>
          <w:color w:val="1F497D" w:themeColor="text2"/>
        </w:rPr>
        <w:tab/>
        <w:t>0,01</w:t>
      </w:r>
    </w:p>
    <w:p w:rsidR="000C1AA7" w:rsidRPr="000C1AA7" w:rsidRDefault="000C1AA7" w:rsidP="000C1AA7">
      <w:pPr>
        <w:ind w:firstLine="709"/>
        <w:jc w:val="both"/>
        <w:rPr>
          <w:rFonts w:ascii="gobCL" w:hAnsi="gobCL"/>
          <w:b/>
          <w:color w:val="1F497D" w:themeColor="text2"/>
        </w:rPr>
      </w:pPr>
      <w:r w:rsidRPr="000C1AA7">
        <w:rPr>
          <w:rFonts w:ascii="gobCL" w:hAnsi="gobCL"/>
          <w:b/>
          <w:color w:val="1F497D" w:themeColor="text2"/>
        </w:rPr>
        <w:t xml:space="preserve">c) Camarón nailon: </w:t>
      </w:r>
      <w:r w:rsidRPr="000C1AA7">
        <w:rPr>
          <w:rFonts w:ascii="gobCL" w:hAnsi="gobCL"/>
          <w:b/>
          <w:color w:val="1F497D" w:themeColor="text2"/>
        </w:rPr>
        <w:tab/>
      </w:r>
      <w:r w:rsidRPr="000C1AA7">
        <w:rPr>
          <w:rFonts w:ascii="gobCL" w:hAnsi="gobCL"/>
          <w:b/>
          <w:color w:val="1F497D" w:themeColor="text2"/>
        </w:rPr>
        <w:tab/>
        <w:t>0,01</w:t>
      </w:r>
    </w:p>
    <w:p w:rsidR="00A62A13" w:rsidRPr="000C1AA7" w:rsidRDefault="000C1AA7" w:rsidP="000C1AA7">
      <w:pPr>
        <w:ind w:firstLine="709"/>
        <w:jc w:val="both"/>
        <w:rPr>
          <w:rFonts w:ascii="gobCL" w:hAnsi="gobCL"/>
          <w:b/>
          <w:color w:val="1F497D" w:themeColor="text2"/>
        </w:rPr>
      </w:pPr>
      <w:r w:rsidRPr="000C1AA7">
        <w:rPr>
          <w:rFonts w:ascii="gobCL" w:hAnsi="gobCL"/>
          <w:b/>
          <w:color w:val="1F497D" w:themeColor="text2"/>
        </w:rPr>
        <w:t xml:space="preserve">d) Merluza de cola: </w:t>
      </w:r>
      <w:r w:rsidRPr="000C1AA7">
        <w:rPr>
          <w:rFonts w:ascii="gobCL" w:hAnsi="gobCL"/>
          <w:b/>
          <w:color w:val="1F497D" w:themeColor="text2"/>
        </w:rPr>
        <w:tab/>
      </w:r>
      <w:r w:rsidRPr="000C1AA7">
        <w:rPr>
          <w:rFonts w:ascii="gobCL" w:hAnsi="gobCL"/>
          <w:b/>
          <w:color w:val="1F497D" w:themeColor="text2"/>
        </w:rPr>
        <w:tab/>
        <w:t>0,01</w:t>
      </w:r>
    </w:p>
    <w:p w:rsidR="000C1AA7" w:rsidRPr="000C1AA7" w:rsidRDefault="000C1AA7">
      <w:pPr>
        <w:ind w:firstLine="709"/>
        <w:jc w:val="both"/>
        <w:rPr>
          <w:rFonts w:ascii="gobCL" w:hAnsi="gobCL"/>
          <w:b/>
          <w:color w:val="1F497D" w:themeColor="text2"/>
        </w:rPr>
      </w:pPr>
    </w:p>
    <w:sectPr w:rsidR="000C1AA7" w:rsidRPr="000C1AA7" w:rsidSect="0083131D">
      <w:pgSz w:w="12240" w:h="18720" w:code="14"/>
      <w:pgMar w:top="851" w:right="1191" w:bottom="2552" w:left="21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A7"/>
    <w:rsid w:val="000375A0"/>
    <w:rsid w:val="000C1AA7"/>
    <w:rsid w:val="0053584B"/>
    <w:rsid w:val="0083131D"/>
    <w:rsid w:val="0086567F"/>
    <w:rsid w:val="00BF69A5"/>
    <w:rsid w:val="00E07DF2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AA7"/>
    <w:pPr>
      <w:spacing w:after="0" w:line="240" w:lineRule="auto"/>
      <w:ind w:left="720"/>
    </w:pPr>
    <w:rPr>
      <w:rFonts w:ascii="Calibri" w:hAnsi="Calibri" w:cs="Times New Roman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AA7"/>
    <w:pPr>
      <w:spacing w:after="0" w:line="240" w:lineRule="auto"/>
      <w:ind w:left="720"/>
    </w:pPr>
    <w:rPr>
      <w:rFonts w:ascii="Calibri" w:hAnsi="Calibri" w:cs="Times New Roman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bastapublica@subpesc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1399</Characters>
  <Application>Microsoft Office Word</Application>
  <DocSecurity>0</DocSecurity>
  <Lines>55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Francisco Ortiz</cp:lastModifiedBy>
  <cp:revision>6</cp:revision>
  <dcterms:created xsi:type="dcterms:W3CDTF">2020-11-23T13:25:00Z</dcterms:created>
  <dcterms:modified xsi:type="dcterms:W3CDTF">2020-11-24T13:31:00Z</dcterms:modified>
</cp:coreProperties>
</file>