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3C" w:rsidRPr="00637BF2" w:rsidRDefault="0030493C" w:rsidP="00637BF2">
      <w:pPr>
        <w:pStyle w:val="Prrafodelista"/>
        <w:numPr>
          <w:ilvl w:val="0"/>
          <w:numId w:val="2"/>
        </w:numPr>
        <w:contextualSpacing w:val="0"/>
        <w:jc w:val="both"/>
        <w:rPr>
          <w:rFonts w:ascii="gobCL" w:hAnsi="gobCL"/>
        </w:rPr>
      </w:pPr>
      <w:r w:rsidRPr="00637BF2">
        <w:rPr>
          <w:rFonts w:ascii="gobCL" w:hAnsi="gobCL"/>
        </w:rPr>
        <w:t>DE ACUERDO AL MEMORANDUM TECNICO, SE ESTABLECEN LAS RESERVAS DE CUOTAS POR ESPECIE Y UNIDAD DE PESQUERÍA PARA SUBASTAR LA CUOTA DE CONSUMO HUMANO,</w:t>
      </w:r>
    </w:p>
    <w:p w:rsidR="0030493C" w:rsidRDefault="0030493C" w:rsidP="005C5FAC">
      <w:pPr>
        <w:jc w:val="both"/>
      </w:pPr>
    </w:p>
    <w:p w:rsidR="0030493C" w:rsidRDefault="0030493C" w:rsidP="005C5FAC">
      <w:pPr>
        <w:jc w:val="both"/>
      </w:pPr>
      <w:r>
        <w:t>ES ASÍ, COMO SE PUBLICAN LAS BASES ADMINISTRATIVAS R.EX. Nº 3541 QUE FIJA PLAZOS Y PROCEDIMIENTOS.</w:t>
      </w:r>
    </w:p>
    <w:p w:rsidR="0030493C" w:rsidRDefault="0030493C" w:rsidP="005C5FAC">
      <w:pPr>
        <w:jc w:val="both"/>
      </w:pPr>
    </w:p>
    <w:p w:rsidR="0030493C" w:rsidRDefault="0030493C" w:rsidP="005C5FAC">
      <w:pPr>
        <w:jc w:val="both"/>
      </w:pPr>
      <w:r>
        <w:t>A RAZÓN DE LO ANTERIOR CONSULTO:</w:t>
      </w:r>
    </w:p>
    <w:p w:rsidR="0030493C" w:rsidRDefault="0030493C" w:rsidP="005C5FAC">
      <w:pPr>
        <w:jc w:val="both"/>
      </w:pPr>
    </w:p>
    <w:p w:rsidR="0030493C" w:rsidRDefault="0030493C" w:rsidP="005C5FAC">
      <w:pPr>
        <w:pStyle w:val="Prrafodelista"/>
        <w:numPr>
          <w:ilvl w:val="0"/>
          <w:numId w:val="1"/>
        </w:numPr>
        <w:jc w:val="both"/>
      </w:pPr>
      <w:r>
        <w:t>CUÁLES SON LOS PLAZOS DE LICITACIÓN (ENTREGA DE SOBRES Y APERTURA) PARA EL RECURSO JUREL (TRACHURUS MURPHI), PUESTO A QUE NO VIENE LA TABLA, EN LAS BASES ADMINISTRATIVAS, PARA ESTA ESPECIE.</w:t>
      </w:r>
    </w:p>
    <w:p w:rsidR="0030493C" w:rsidRDefault="0030493C" w:rsidP="005C5FAC">
      <w:pPr>
        <w:jc w:val="both"/>
      </w:pPr>
    </w:p>
    <w:p w:rsidR="0030493C" w:rsidRPr="00637BF2" w:rsidRDefault="0030493C" w:rsidP="005C5FAC">
      <w:pPr>
        <w:jc w:val="both"/>
        <w:rPr>
          <w:b/>
          <w:color w:val="0070C0"/>
        </w:rPr>
      </w:pPr>
      <w:r w:rsidRPr="00637BF2">
        <w:rPr>
          <w:b/>
          <w:color w:val="0070C0"/>
        </w:rPr>
        <w:t xml:space="preserve">R: </w:t>
      </w:r>
      <w:r w:rsidR="006D6B0B" w:rsidRPr="00637BF2">
        <w:rPr>
          <w:b/>
          <w:color w:val="0070C0"/>
        </w:rPr>
        <w:t xml:space="preserve">Los plazos para la entrega de sobres 1 y 2 referentes a la </w:t>
      </w:r>
      <w:r w:rsidR="00637BF2">
        <w:rPr>
          <w:b/>
          <w:color w:val="0070C0"/>
        </w:rPr>
        <w:t xml:space="preserve">subasta de la cuota de reserva </w:t>
      </w:r>
      <w:r w:rsidR="006D6B0B" w:rsidRPr="00637BF2">
        <w:rPr>
          <w:b/>
          <w:color w:val="0070C0"/>
        </w:rPr>
        <w:t>para consumo humano de las empresas de menor tamaño del recurso Jurel será debidamente informada, ya qu</w:t>
      </w:r>
      <w:r w:rsidR="00637BF2">
        <w:rPr>
          <w:b/>
          <w:color w:val="0070C0"/>
        </w:rPr>
        <w:t>e no se considera dicho recurso para ser</w:t>
      </w:r>
      <w:r w:rsidR="00E31804">
        <w:rPr>
          <w:b/>
          <w:color w:val="0070C0"/>
        </w:rPr>
        <w:t xml:space="preserve"> </w:t>
      </w:r>
      <w:r w:rsidR="006D6B0B" w:rsidRPr="00637BF2">
        <w:rPr>
          <w:b/>
          <w:color w:val="0070C0"/>
        </w:rPr>
        <w:t>licitado en este llamado.</w:t>
      </w:r>
    </w:p>
    <w:p w:rsidR="0030493C" w:rsidRDefault="0030493C" w:rsidP="005C5FAC">
      <w:pPr>
        <w:jc w:val="both"/>
      </w:pPr>
    </w:p>
    <w:p w:rsidR="0030493C" w:rsidRPr="00637BF2" w:rsidRDefault="0030493C" w:rsidP="00637BF2">
      <w:pPr>
        <w:pStyle w:val="Prrafodelista"/>
        <w:numPr>
          <w:ilvl w:val="0"/>
          <w:numId w:val="2"/>
        </w:numPr>
        <w:contextualSpacing w:val="0"/>
        <w:jc w:val="both"/>
        <w:rPr>
          <w:rFonts w:ascii="gobCL" w:hAnsi="gobCL"/>
        </w:rPr>
      </w:pPr>
      <w:r w:rsidRPr="00637BF2">
        <w:rPr>
          <w:rFonts w:ascii="gobCL" w:hAnsi="gobCL"/>
        </w:rPr>
        <w:t xml:space="preserve">INDEPENDIENTE DE LA RESPUESTA ANTERIOR, EL PUNTO 5 DE LAS BASES SEÑALADAS PRECEDENTEMENTE, ESTABLECEN LAS ESPECIES A SUBASTAR Y SUS RESPECTIVAS GARANTÍAS, PERO ¿LA OMISIÓN DEL RECURSO JUREL EN LAS BASES DE ESTA SUBASTA, SE DEBE A UN ERROR O A QUE SE REALIZARÁ UNA SUBASTA EN TIEMPOS </w:t>
      </w:r>
      <w:proofErr w:type="gramStart"/>
      <w:r w:rsidRPr="00637BF2">
        <w:rPr>
          <w:rFonts w:ascii="gobCL" w:hAnsi="gobCL"/>
        </w:rPr>
        <w:t>DISTINTOS?.</w:t>
      </w:r>
      <w:proofErr w:type="gramEnd"/>
    </w:p>
    <w:p w:rsidR="006D6B0B" w:rsidRDefault="006D6B0B" w:rsidP="005C5FAC">
      <w:pPr>
        <w:jc w:val="both"/>
      </w:pPr>
    </w:p>
    <w:p w:rsidR="006D6B0B" w:rsidRPr="00637BF2" w:rsidRDefault="006D6B0B" w:rsidP="005C5FAC">
      <w:pPr>
        <w:jc w:val="both"/>
        <w:rPr>
          <w:b/>
          <w:color w:val="0070C0"/>
        </w:rPr>
      </w:pPr>
      <w:r w:rsidRPr="00637BF2">
        <w:rPr>
          <w:b/>
          <w:color w:val="0070C0"/>
        </w:rPr>
        <w:t>R: La</w:t>
      </w:r>
      <w:r w:rsidR="00637BF2">
        <w:rPr>
          <w:b/>
          <w:color w:val="0070C0"/>
        </w:rPr>
        <w:t xml:space="preserve"> subasta de la cuota de reserva</w:t>
      </w:r>
      <w:r w:rsidRPr="00637BF2">
        <w:rPr>
          <w:b/>
          <w:color w:val="0070C0"/>
        </w:rPr>
        <w:t xml:space="preserve"> para consumo humano de las empresas de menor tamaño del recurso Jurel será prontamente informada. </w:t>
      </w:r>
    </w:p>
    <w:p w:rsidR="0030493C" w:rsidRDefault="0030493C" w:rsidP="005C5FAC">
      <w:pPr>
        <w:jc w:val="both"/>
      </w:pPr>
    </w:p>
    <w:p w:rsidR="00463ACC" w:rsidRPr="00637BF2" w:rsidRDefault="00463ACC" w:rsidP="00637BF2">
      <w:pPr>
        <w:pStyle w:val="Prrafodelista"/>
        <w:numPr>
          <w:ilvl w:val="0"/>
          <w:numId w:val="2"/>
        </w:numPr>
        <w:contextualSpacing w:val="0"/>
        <w:jc w:val="both"/>
        <w:rPr>
          <w:rFonts w:ascii="gobCL" w:hAnsi="gobCL"/>
        </w:rPr>
      </w:pPr>
      <w:r w:rsidRPr="00637BF2">
        <w:rPr>
          <w:rFonts w:ascii="gobCL" w:hAnsi="gobCL"/>
        </w:rPr>
        <w:t xml:space="preserve">c) </w:t>
      </w:r>
      <w:r w:rsidR="0030493C" w:rsidRPr="00637BF2">
        <w:rPr>
          <w:rFonts w:ascii="gobCL" w:hAnsi="gobCL"/>
        </w:rPr>
        <w:t>REFERENTE AL PUNTO 8 DE LAS BASES ADMINISTRATIVAS CITADAS CONSULTO:</w:t>
      </w:r>
      <w:r w:rsidRPr="00637BF2">
        <w:rPr>
          <w:rFonts w:ascii="gobCL" w:hAnsi="gobCL"/>
        </w:rPr>
        <w:t xml:space="preserve"> </w:t>
      </w:r>
      <w:r w:rsidR="0030493C" w:rsidRPr="00637BF2">
        <w:rPr>
          <w:rFonts w:ascii="gobCL" w:hAnsi="gobCL"/>
        </w:rPr>
        <w:t>LAS DECLARACIONES DE IVA QUE ACREDITAN LA CALIDAD DE EMPRESA DE MENOR TAMAÑO, ¿DEBEN VENIR AUTORIZADAS ANTE NOTARIO O BASTA LA DECLARACIÓN QUE SE IMPRIME DE LA PÁGINA OFICIAL DEL SERVICIO DE IMPUESTOS INTERNOS QUE VIENE CON SELLO Y FIRMA DEL SII?</w:t>
      </w:r>
    </w:p>
    <w:p w:rsidR="005C5FAC" w:rsidRDefault="005C5FAC" w:rsidP="005C5FAC">
      <w:pPr>
        <w:jc w:val="both"/>
      </w:pPr>
    </w:p>
    <w:p w:rsidR="005C5FAC" w:rsidRPr="00637BF2" w:rsidRDefault="005C5FAC" w:rsidP="005C5FAC">
      <w:pPr>
        <w:jc w:val="both"/>
        <w:rPr>
          <w:b/>
          <w:color w:val="0070C0"/>
        </w:rPr>
      </w:pPr>
      <w:r w:rsidRPr="00637BF2">
        <w:rPr>
          <w:b/>
          <w:color w:val="0070C0"/>
        </w:rPr>
        <w:t>R:</w:t>
      </w:r>
      <w:r w:rsidR="00E1081C" w:rsidRPr="00637BF2">
        <w:rPr>
          <w:b/>
          <w:color w:val="0070C0"/>
        </w:rPr>
        <w:t xml:space="preserve"> Las declaraciones de IVA</w:t>
      </w:r>
      <w:r w:rsidR="00AA1B4E" w:rsidRPr="00637BF2">
        <w:rPr>
          <w:b/>
          <w:color w:val="0070C0"/>
        </w:rPr>
        <w:t xml:space="preserve"> pueden presentarse en copias simples, por lo que no es necesario que se encuentren autorizadas ante notario. Es </w:t>
      </w:r>
      <w:r w:rsidR="00E1081C" w:rsidRPr="00637BF2">
        <w:rPr>
          <w:b/>
          <w:color w:val="0070C0"/>
        </w:rPr>
        <w:t>insuficiente la declaración realizada ante el referido Servicio.</w:t>
      </w:r>
    </w:p>
    <w:p w:rsidR="00463ACC" w:rsidRDefault="00463ACC" w:rsidP="005C5FAC">
      <w:pPr>
        <w:jc w:val="both"/>
      </w:pPr>
    </w:p>
    <w:p w:rsidR="0030493C" w:rsidRPr="00637BF2" w:rsidRDefault="0030493C" w:rsidP="00637BF2">
      <w:pPr>
        <w:pStyle w:val="Prrafodelista"/>
        <w:numPr>
          <w:ilvl w:val="0"/>
          <w:numId w:val="2"/>
        </w:numPr>
        <w:contextualSpacing w:val="0"/>
        <w:jc w:val="both"/>
        <w:rPr>
          <w:rFonts w:ascii="gobCL" w:hAnsi="gobCL"/>
        </w:rPr>
      </w:pPr>
      <w:proofErr w:type="gramStart"/>
      <w:r w:rsidRPr="00637BF2">
        <w:rPr>
          <w:rFonts w:ascii="gobCL" w:hAnsi="gobCL"/>
        </w:rPr>
        <w:t>.-</w:t>
      </w:r>
      <w:proofErr w:type="gramEnd"/>
      <w:r w:rsidRPr="00637BF2">
        <w:rPr>
          <w:rFonts w:ascii="gobCL" w:hAnsi="gobCL"/>
        </w:rPr>
        <w:t>EL CERTIFICADO DE SERNAPESCA CON EL QUE SE ACREDITA LA TITULARIDAD DE LA PLANTA DE PROCESO Y SU INSCRIPCIÓN SE DEBE PRESENTAR PARA CADA UNA DE LAS PESQUERÍAS A QUE SE QUIERA OFERTAR O BASTA CON UN SOLO CERTIFICADO POR PARTE DE LA PLANTA OFERENTE?</w:t>
      </w:r>
    </w:p>
    <w:p w:rsidR="00463ACC" w:rsidRDefault="00463ACC" w:rsidP="005C5FAC">
      <w:pPr>
        <w:jc w:val="both"/>
      </w:pPr>
    </w:p>
    <w:p w:rsidR="005C5FAC" w:rsidRPr="00637BF2" w:rsidRDefault="005C5FAC" w:rsidP="005C5FAC">
      <w:pPr>
        <w:jc w:val="both"/>
        <w:rPr>
          <w:b/>
          <w:color w:val="0070C0"/>
        </w:rPr>
      </w:pPr>
      <w:r w:rsidRPr="00637BF2">
        <w:rPr>
          <w:b/>
          <w:color w:val="0070C0"/>
        </w:rPr>
        <w:lastRenderedPageBreak/>
        <w:t>R:</w:t>
      </w:r>
      <w:r w:rsidR="00E1081C" w:rsidRPr="00637BF2">
        <w:rPr>
          <w:b/>
          <w:color w:val="0070C0"/>
        </w:rPr>
        <w:t xml:space="preserve"> Basta con un solo certificado, el que deberá acompañarse en Sobre N° 1, según numeral 8 letra c de las Bases Administrativas.</w:t>
      </w:r>
    </w:p>
    <w:p w:rsidR="0030493C" w:rsidRDefault="0030493C" w:rsidP="005C5FAC">
      <w:pPr>
        <w:jc w:val="both"/>
      </w:pPr>
    </w:p>
    <w:p w:rsidR="0030493C" w:rsidRPr="00637BF2" w:rsidRDefault="0030493C" w:rsidP="00637BF2">
      <w:pPr>
        <w:pStyle w:val="Prrafodelista"/>
        <w:numPr>
          <w:ilvl w:val="0"/>
          <w:numId w:val="2"/>
        </w:numPr>
        <w:contextualSpacing w:val="0"/>
        <w:jc w:val="both"/>
        <w:rPr>
          <w:rFonts w:ascii="gobCL" w:hAnsi="gobCL"/>
        </w:rPr>
      </w:pPr>
      <w:r w:rsidRPr="00637BF2">
        <w:rPr>
          <w:rFonts w:ascii="gobCL" w:hAnsi="gobCL"/>
        </w:rPr>
        <w:t>QUISIERA CONSULTAR SI SE REQUIERE UN JUEGO DE SOBRES ÚNICO PARA TODAS LAS PESQUERÍAS O UN JUEGO DIFERENTE PARA CADA UNA DE LAS ESPECIES A SUBASTAR, ES DECIR UN SOBRE Nº 1 Y OTRO SOBRE Nº 2 PARA OFERTAR A CADA UNA DE LAS UNIDADES DE PESQUERÍA?</w:t>
      </w:r>
    </w:p>
    <w:p w:rsidR="0030493C" w:rsidRDefault="0030493C" w:rsidP="005C5FAC">
      <w:pPr>
        <w:jc w:val="both"/>
      </w:pPr>
      <w:r>
        <w:t> </w:t>
      </w:r>
    </w:p>
    <w:p w:rsidR="005C5FAC" w:rsidRPr="00637BF2" w:rsidRDefault="005C5FAC" w:rsidP="005C5FAC">
      <w:pPr>
        <w:jc w:val="both"/>
        <w:rPr>
          <w:b/>
          <w:color w:val="0070C0"/>
        </w:rPr>
      </w:pPr>
      <w:r w:rsidRPr="00637BF2">
        <w:rPr>
          <w:b/>
          <w:color w:val="0070C0"/>
        </w:rPr>
        <w:t>R:</w:t>
      </w:r>
      <w:r w:rsidR="00E1081C" w:rsidRPr="00637BF2">
        <w:rPr>
          <w:b/>
          <w:color w:val="0070C0"/>
        </w:rPr>
        <w:t xml:space="preserve"> Se requiere acompañar un único Sobre N° 1 de antecedentes administrativos, según numeral 8 de las bases administrativas, y un Sobre N° 2, </w:t>
      </w:r>
      <w:r w:rsidR="001A2389" w:rsidRPr="00637BF2">
        <w:rPr>
          <w:b/>
          <w:color w:val="0070C0"/>
        </w:rPr>
        <w:t>donde deberá incluirse cada oferta en sobre separado, según numeral 10 de las bases administrativas.</w:t>
      </w:r>
    </w:p>
    <w:p w:rsidR="005C5FAC" w:rsidRDefault="005C5FAC" w:rsidP="005C5FAC">
      <w:pPr>
        <w:jc w:val="both"/>
      </w:pPr>
    </w:p>
    <w:p w:rsidR="0030493C" w:rsidRPr="00637BF2" w:rsidRDefault="0030493C" w:rsidP="00637BF2">
      <w:pPr>
        <w:pStyle w:val="Prrafodelista"/>
        <w:numPr>
          <w:ilvl w:val="0"/>
          <w:numId w:val="2"/>
        </w:numPr>
        <w:contextualSpacing w:val="0"/>
        <w:jc w:val="both"/>
        <w:rPr>
          <w:rFonts w:ascii="gobCL" w:hAnsi="gobCL"/>
        </w:rPr>
      </w:pPr>
      <w:r w:rsidRPr="00637BF2">
        <w:rPr>
          <w:rFonts w:ascii="gobCL" w:hAnsi="gobCL"/>
        </w:rPr>
        <w:t>INDEPENDIENTE DE LA RESPUESTA ANTERIOR AL PUNTO 8 LETRA C DE LAS CITADAS BASES, ¿SE PUEDE PRESENTAR UNA COPIA AUTORIZADA ANTE NOTARIO DEL CERTIFICADO EMITIDO EN SERNAPESCA O DEBEMOS PEDIR MUCHOS CERTIFICADOS AL SERVICIO NACIONAL DE PESCA?</w:t>
      </w:r>
      <w:r w:rsidRPr="00637BF2">
        <w:rPr>
          <w:rFonts w:ascii="Calibri" w:hAnsi="Calibri" w:cs="Calibri"/>
        </w:rPr>
        <w:t> </w:t>
      </w:r>
    </w:p>
    <w:p w:rsidR="005C5FAC" w:rsidRDefault="005C5FAC" w:rsidP="005C5FAC">
      <w:pPr>
        <w:jc w:val="both"/>
      </w:pPr>
    </w:p>
    <w:p w:rsidR="005C5FAC" w:rsidRPr="00637BF2" w:rsidRDefault="005C5FAC" w:rsidP="005C5FAC">
      <w:pPr>
        <w:jc w:val="both"/>
        <w:rPr>
          <w:b/>
          <w:color w:val="0070C0"/>
        </w:rPr>
      </w:pPr>
      <w:r w:rsidRPr="00637BF2">
        <w:rPr>
          <w:b/>
          <w:color w:val="0070C0"/>
        </w:rPr>
        <w:t>R:</w:t>
      </w:r>
      <w:r w:rsidR="001A2389" w:rsidRPr="00637BF2">
        <w:rPr>
          <w:b/>
          <w:color w:val="0070C0"/>
        </w:rPr>
        <w:t xml:space="preserve"> Basta con la presentación de un solo certificado emitido por </w:t>
      </w:r>
      <w:proofErr w:type="spellStart"/>
      <w:r w:rsidR="001A2389" w:rsidRPr="00637BF2">
        <w:rPr>
          <w:b/>
          <w:color w:val="0070C0"/>
        </w:rPr>
        <w:t>Sernapesca</w:t>
      </w:r>
      <w:proofErr w:type="spellEnd"/>
      <w:r w:rsidR="001A2389" w:rsidRPr="00637BF2">
        <w:rPr>
          <w:b/>
          <w:color w:val="0070C0"/>
        </w:rPr>
        <w:t>, el que deberá acompañarse en Sobre N° 1, según numeral 8 letra c de las Bases Administrativas, no siendo necesario acompañar copias autorizadas ante Notario.</w:t>
      </w:r>
    </w:p>
    <w:p w:rsidR="00463ACC" w:rsidRDefault="00463ACC" w:rsidP="005C5FAC">
      <w:pPr>
        <w:jc w:val="both"/>
      </w:pPr>
    </w:p>
    <w:p w:rsidR="0030493C" w:rsidRPr="00637BF2" w:rsidRDefault="0030493C" w:rsidP="00637BF2">
      <w:pPr>
        <w:pStyle w:val="Prrafodelista"/>
        <w:numPr>
          <w:ilvl w:val="0"/>
          <w:numId w:val="2"/>
        </w:numPr>
        <w:contextualSpacing w:val="0"/>
        <w:jc w:val="both"/>
        <w:rPr>
          <w:rFonts w:ascii="gobCL" w:hAnsi="gobCL"/>
        </w:rPr>
      </w:pPr>
      <w:r w:rsidRPr="00637BF2">
        <w:rPr>
          <w:rFonts w:ascii="gobCL" w:hAnsi="gobCL"/>
        </w:rPr>
        <w:t>RESPECTO AL PUNTO 14 DE LAS BASES EN SU SEGUNDO PÁRRAFO, ¿A QUÉ SE REFIERE EXACTAMENTE?, ES DECIR:</w:t>
      </w:r>
    </w:p>
    <w:p w:rsidR="0030493C" w:rsidRPr="00637BF2" w:rsidRDefault="0030493C" w:rsidP="00637BF2">
      <w:pPr>
        <w:pStyle w:val="Prrafodelista"/>
        <w:contextualSpacing w:val="0"/>
        <w:jc w:val="both"/>
        <w:rPr>
          <w:rFonts w:ascii="gobCL" w:hAnsi="gobCL"/>
        </w:rPr>
      </w:pPr>
      <w:r w:rsidRPr="00637BF2">
        <w:rPr>
          <w:rFonts w:ascii="gobCL" w:hAnsi="gobCL"/>
        </w:rPr>
        <w:t>¿SI UN OFERENTE QUE EN EL PRIMER LLAMADO SE ADJUDICA EL 40% DE UNA ESPECIE Y DE UNA UNIDAD DE PESQUERÍA DETERMINADA, PUEDE O NO PUEDE PARTICIPAR DE LOTES DESIERTOS QUE SALGAN A UN SEGUNDO LLAMADO SOBRE EL MISMO RECURSO?</w:t>
      </w:r>
    </w:p>
    <w:p w:rsidR="0030493C" w:rsidRDefault="0030493C" w:rsidP="005C5FAC">
      <w:pPr>
        <w:jc w:val="both"/>
      </w:pPr>
    </w:p>
    <w:p w:rsidR="00463ACC" w:rsidRPr="00637BF2" w:rsidRDefault="00E31804" w:rsidP="005C5FAC">
      <w:pPr>
        <w:jc w:val="both"/>
        <w:rPr>
          <w:b/>
          <w:color w:val="0070C0"/>
        </w:rPr>
      </w:pPr>
      <w:r>
        <w:rPr>
          <w:b/>
          <w:color w:val="0070C0"/>
        </w:rPr>
        <w:t>R: Si un oferente se adjudica</w:t>
      </w:r>
      <w:r w:rsidR="00463ACC" w:rsidRPr="00637BF2">
        <w:rPr>
          <w:b/>
          <w:color w:val="0070C0"/>
        </w:rPr>
        <w:t xml:space="preserve"> el 40% en el primer llamado, no podrá adjudicarse lotes en un segundo llamado (Aplica N° 13 y N° 14 de las bases administrativas).</w:t>
      </w:r>
    </w:p>
    <w:p w:rsidR="00637BF2" w:rsidRDefault="00637BF2" w:rsidP="00E31804">
      <w:pPr>
        <w:jc w:val="both"/>
      </w:pPr>
    </w:p>
    <w:p w:rsidR="0030493C" w:rsidRPr="00637BF2" w:rsidRDefault="0030493C" w:rsidP="00637BF2">
      <w:pPr>
        <w:pStyle w:val="Prrafodelista"/>
        <w:numPr>
          <w:ilvl w:val="0"/>
          <w:numId w:val="2"/>
        </w:numPr>
        <w:contextualSpacing w:val="0"/>
        <w:jc w:val="both"/>
        <w:rPr>
          <w:rFonts w:ascii="gobCL" w:hAnsi="gobCL"/>
        </w:rPr>
      </w:pPr>
      <w:r w:rsidRPr="00637BF2">
        <w:rPr>
          <w:rFonts w:ascii="gobCL" w:hAnsi="gobCL"/>
        </w:rPr>
        <w:t>ES DECIR, ¿UN OFERENTE PUEDE ADJUDICARSE MÁS DEL 40% DE UN RECURSO CONSIDERANDO QUE LO LICITÓ EN UN PRIMER LLAMADO Y LUEGO AUMENTÓ SI PORCENTAJE PARTICIPANDO DE UN SEGUNDO LLAMADO? O ESTA LIMITACIÓN SERÁ A TODO EVENTO TANTO PARA EL PRIMER Y SEGUNDO LLAMADO.?</w:t>
      </w:r>
    </w:p>
    <w:p w:rsidR="0030493C" w:rsidRDefault="0030493C" w:rsidP="005C5FAC">
      <w:pPr>
        <w:jc w:val="both"/>
      </w:pPr>
    </w:p>
    <w:p w:rsidR="00637BF2" w:rsidRPr="00637BF2" w:rsidRDefault="00E31804" w:rsidP="00637BF2">
      <w:pPr>
        <w:jc w:val="both"/>
        <w:rPr>
          <w:b/>
          <w:color w:val="0070C0"/>
        </w:rPr>
      </w:pPr>
      <w:r>
        <w:rPr>
          <w:b/>
          <w:color w:val="0070C0"/>
        </w:rPr>
        <w:t>R: Si un oferente se adjudica</w:t>
      </w:r>
      <w:r w:rsidR="00637BF2" w:rsidRPr="00637BF2">
        <w:rPr>
          <w:b/>
          <w:color w:val="0070C0"/>
        </w:rPr>
        <w:t xml:space="preserve"> el 40% en el primer llamado, no podrá adjudicarse lotes en un segundo llamado (Aplica N° 13 y N° 14 de las bases administrativas).</w:t>
      </w:r>
    </w:p>
    <w:p w:rsidR="00E31804" w:rsidRDefault="00E31804">
      <w:pPr>
        <w:spacing w:after="200" w:line="276" w:lineRule="auto"/>
      </w:pPr>
      <w:r>
        <w:br w:type="page"/>
      </w:r>
    </w:p>
    <w:p w:rsidR="004820A0" w:rsidRPr="00567484" w:rsidRDefault="00637BF2" w:rsidP="004820A0">
      <w:pPr>
        <w:pStyle w:val="Prrafodelista"/>
        <w:numPr>
          <w:ilvl w:val="0"/>
          <w:numId w:val="2"/>
        </w:numPr>
        <w:contextualSpacing w:val="0"/>
        <w:jc w:val="both"/>
        <w:rPr>
          <w:rFonts w:ascii="gobCL" w:hAnsi="gobCL"/>
        </w:rPr>
      </w:pPr>
      <w:r w:rsidRPr="00567484">
        <w:rPr>
          <w:rFonts w:ascii="gobCL" w:hAnsi="gobCL"/>
        </w:rPr>
        <w:lastRenderedPageBreak/>
        <w:t xml:space="preserve">¿EN RELACIÓN A LAS EMPRESAS DE MENOR TAMAÑO, </w:t>
      </w:r>
      <w:proofErr w:type="gramStart"/>
      <w:r w:rsidRPr="00567484">
        <w:rPr>
          <w:rFonts w:ascii="gobCL" w:hAnsi="gobCL"/>
        </w:rPr>
        <w:t>EN LA SUBASTA DE LA CUOTA DE CONSUMO HUMANO QUE NO DEN CUMPLIMIENTO AL PAGO DE LA PRIMERA ANUALIDAD Y QUE SE CONSIDERA ESTE OFERENTE DESISTIDO DE SU OFERTA, ESTO SE VUELVE A LICITAR EN UN PLAZO DE 30 DÍAS?</w:t>
      </w:r>
      <w:proofErr w:type="gramEnd"/>
    </w:p>
    <w:p w:rsidR="004820A0" w:rsidRPr="00567484" w:rsidRDefault="004820A0" w:rsidP="004820A0">
      <w:pPr>
        <w:pStyle w:val="Prrafodelista"/>
        <w:jc w:val="both"/>
        <w:rPr>
          <w:rFonts w:ascii="gobCL" w:hAnsi="gobCL"/>
        </w:rPr>
      </w:pPr>
    </w:p>
    <w:p w:rsidR="004820A0" w:rsidRPr="00637BF2" w:rsidRDefault="004820A0" w:rsidP="00637BF2">
      <w:pPr>
        <w:jc w:val="both"/>
        <w:rPr>
          <w:b/>
          <w:color w:val="0070C0"/>
        </w:rPr>
      </w:pPr>
      <w:r w:rsidRPr="00637BF2">
        <w:rPr>
          <w:b/>
          <w:color w:val="0070C0"/>
        </w:rPr>
        <w:t>Si, en virtud de lo señalado en el inciso primero del artículo 18 del Reglamento que regula la materia “el adjudicatario que no diera cumplimiento a la obligación de pago de la primera anualidad a que se refiere el artículo 17, se entenderá por este solo hecho como desistido de su oferta y se hará efectiva la garantía de seriedad de la oferta. Producido el desistimiento señalado en el inciso anterior, se procederá a una nueva subasta, por única vez, respecto de ese lote, dentro del plazo de 30 días, contados desde la realización de ésta o de la certificación de no pago en su caso.”.</w:t>
      </w:r>
    </w:p>
    <w:p w:rsidR="004820A0" w:rsidRDefault="004820A0" w:rsidP="005C5FAC">
      <w:pPr>
        <w:jc w:val="both"/>
      </w:pPr>
    </w:p>
    <w:p w:rsidR="00E31804" w:rsidRDefault="00E31804" w:rsidP="00E31804">
      <w:pPr>
        <w:pStyle w:val="Prrafodelista"/>
        <w:numPr>
          <w:ilvl w:val="0"/>
          <w:numId w:val="2"/>
        </w:numPr>
        <w:contextualSpacing w:val="0"/>
        <w:jc w:val="both"/>
        <w:rPr>
          <w:rFonts w:ascii="gobCL" w:hAnsi="gobCL"/>
        </w:rPr>
      </w:pPr>
      <w:r w:rsidRPr="00E31804">
        <w:rPr>
          <w:rFonts w:ascii="gobCL" w:hAnsi="gobCL"/>
        </w:rPr>
        <w:t>¿La licitación de Jurel para la cuota de consumo humano cuándo se llevará a cabo?</w:t>
      </w:r>
    </w:p>
    <w:p w:rsidR="00E31804" w:rsidRPr="00E31804" w:rsidRDefault="00E31804" w:rsidP="00E31804">
      <w:pPr>
        <w:jc w:val="both"/>
        <w:rPr>
          <w:rFonts w:ascii="gobCL" w:hAnsi="gobCL"/>
        </w:rPr>
      </w:pPr>
    </w:p>
    <w:p w:rsidR="00E31804" w:rsidRPr="00637BF2" w:rsidRDefault="00E31804" w:rsidP="00E31804">
      <w:pPr>
        <w:jc w:val="both"/>
        <w:rPr>
          <w:b/>
          <w:color w:val="0070C0"/>
        </w:rPr>
      </w:pPr>
      <w:r w:rsidRPr="00637BF2">
        <w:rPr>
          <w:b/>
          <w:color w:val="0070C0"/>
        </w:rPr>
        <w:t>R: La</w:t>
      </w:r>
      <w:r>
        <w:rPr>
          <w:b/>
          <w:color w:val="0070C0"/>
        </w:rPr>
        <w:t xml:space="preserve"> subasta de la cuota de reserva</w:t>
      </w:r>
      <w:r w:rsidRPr="00637BF2">
        <w:rPr>
          <w:b/>
          <w:color w:val="0070C0"/>
        </w:rPr>
        <w:t xml:space="preserve"> para consumo humano de las empresas de menor tamaño del recurso Jurel será prontamente informada. </w:t>
      </w:r>
    </w:p>
    <w:p w:rsidR="00E31804" w:rsidRPr="00E31804" w:rsidRDefault="00E31804" w:rsidP="00E31804">
      <w:pPr>
        <w:jc w:val="both"/>
        <w:rPr>
          <w:rFonts w:ascii="gobCL" w:hAnsi="gobCL"/>
        </w:rPr>
      </w:pPr>
    </w:p>
    <w:p w:rsidR="00E31804" w:rsidRPr="00E31804" w:rsidRDefault="00E31804" w:rsidP="00E31804">
      <w:pPr>
        <w:pStyle w:val="Prrafodelista"/>
        <w:numPr>
          <w:ilvl w:val="0"/>
          <w:numId w:val="2"/>
        </w:numPr>
        <w:contextualSpacing w:val="0"/>
        <w:jc w:val="both"/>
        <w:rPr>
          <w:rFonts w:ascii="gobCL" w:hAnsi="gobCL"/>
        </w:rPr>
      </w:pPr>
      <w:r w:rsidRPr="00E31804">
        <w:rPr>
          <w:rFonts w:ascii="gobCL" w:hAnsi="gobCL"/>
        </w:rPr>
        <w:t>Advirtiendo que la reserva del 1% de la cuota de jurel viene en la reserva para la cuota anual ¿Por qué no salieron las bases de este recurso a licitar?</w:t>
      </w:r>
    </w:p>
    <w:p w:rsidR="00E31804" w:rsidRDefault="00E31804" w:rsidP="00E31804">
      <w:pPr>
        <w:jc w:val="both"/>
        <w:rPr>
          <w:rFonts w:ascii="gobCL" w:hAnsi="gobCL"/>
        </w:rPr>
      </w:pPr>
    </w:p>
    <w:p w:rsidR="00E31804" w:rsidRPr="00E31804" w:rsidRDefault="00E31804" w:rsidP="00E31804">
      <w:pPr>
        <w:jc w:val="both"/>
        <w:rPr>
          <w:b/>
          <w:color w:val="0070C0"/>
        </w:rPr>
      </w:pPr>
      <w:r w:rsidRPr="00637BF2">
        <w:rPr>
          <w:b/>
          <w:color w:val="0070C0"/>
        </w:rPr>
        <w:t xml:space="preserve">R: </w:t>
      </w:r>
      <w:r w:rsidRPr="00E31804">
        <w:rPr>
          <w:b/>
          <w:color w:val="0070C0"/>
        </w:rPr>
        <w:t>La consulta no dice relación con aclaración de bases.</w:t>
      </w:r>
    </w:p>
    <w:p w:rsidR="00E31804" w:rsidRPr="00E31804" w:rsidRDefault="00E31804" w:rsidP="00E31804">
      <w:pPr>
        <w:jc w:val="both"/>
        <w:rPr>
          <w:rFonts w:ascii="gobCL" w:hAnsi="gobCL"/>
        </w:rPr>
      </w:pPr>
    </w:p>
    <w:p w:rsidR="00E31804" w:rsidRPr="00E31804" w:rsidRDefault="00E31804" w:rsidP="00E31804">
      <w:pPr>
        <w:pStyle w:val="Prrafodelista"/>
        <w:numPr>
          <w:ilvl w:val="0"/>
          <w:numId w:val="2"/>
        </w:numPr>
        <w:contextualSpacing w:val="0"/>
        <w:jc w:val="both"/>
        <w:rPr>
          <w:rFonts w:ascii="gobCL" w:hAnsi="gobCL"/>
        </w:rPr>
      </w:pPr>
      <w:r w:rsidRPr="00E31804">
        <w:rPr>
          <w:rFonts w:ascii="gobCL" w:hAnsi="gobCL"/>
        </w:rPr>
        <w:t xml:space="preserve">Tienen considerado que el inicio de temporada para este recurso comienza el día 01 de enero a las 00:01 </w:t>
      </w:r>
      <w:proofErr w:type="spellStart"/>
      <w:r w:rsidRPr="00E31804">
        <w:rPr>
          <w:rFonts w:ascii="gobCL" w:hAnsi="gobCL"/>
        </w:rPr>
        <w:t>hrs</w:t>
      </w:r>
      <w:proofErr w:type="spellEnd"/>
      <w:r w:rsidRPr="00E31804">
        <w:rPr>
          <w:rFonts w:ascii="gobCL" w:hAnsi="gobCL"/>
        </w:rPr>
        <w:t xml:space="preserve">., en </w:t>
      </w:r>
      <w:proofErr w:type="gramStart"/>
      <w:r w:rsidRPr="00E31804">
        <w:rPr>
          <w:rFonts w:ascii="gobCL" w:hAnsi="gobCL"/>
        </w:rPr>
        <w:t>consecuencia</w:t>
      </w:r>
      <w:proofErr w:type="gramEnd"/>
      <w:r w:rsidRPr="00E31804">
        <w:rPr>
          <w:rFonts w:ascii="gobCL" w:hAnsi="gobCL"/>
        </w:rPr>
        <w:t xml:space="preserve"> la licitación y las resoluciones que habilitan a las empresas su captura deben estar vigentes antes de esa fecha, asimismo la inscripción de las embarcaciones deben ser autorizadas por </w:t>
      </w:r>
      <w:proofErr w:type="spellStart"/>
      <w:r w:rsidRPr="00E31804">
        <w:rPr>
          <w:rFonts w:ascii="gobCL" w:hAnsi="gobCL"/>
        </w:rPr>
        <w:t>Sernapesca</w:t>
      </w:r>
      <w:proofErr w:type="spellEnd"/>
      <w:r w:rsidRPr="00E31804">
        <w:rPr>
          <w:rFonts w:ascii="gobCL" w:hAnsi="gobCL"/>
        </w:rPr>
        <w:t xml:space="preserve"> quienes en este trámite tardan en promedio 10 días corridos.</w:t>
      </w:r>
    </w:p>
    <w:p w:rsidR="00E31804" w:rsidRPr="00E31804" w:rsidRDefault="00E31804" w:rsidP="00E31804">
      <w:pPr>
        <w:pStyle w:val="Prrafodelista"/>
        <w:contextualSpacing w:val="0"/>
        <w:jc w:val="both"/>
        <w:rPr>
          <w:rFonts w:ascii="gobCL" w:hAnsi="gobCL"/>
        </w:rPr>
      </w:pPr>
      <w:r w:rsidRPr="00E31804">
        <w:rPr>
          <w:rFonts w:ascii="gobCL" w:hAnsi="gobCL"/>
        </w:rPr>
        <w:t>Considerando estos plazos, es posible que la licitación tarde más de lo deseable, ¿Cuáles son los fundamentos técnicos que han impedido la publicació</w:t>
      </w:r>
      <w:r>
        <w:rPr>
          <w:rFonts w:ascii="gobCL" w:hAnsi="gobCL"/>
        </w:rPr>
        <w:t>n de sus bases administrativas?</w:t>
      </w:r>
      <w:bookmarkStart w:id="0" w:name="_GoBack"/>
      <w:bookmarkEnd w:id="0"/>
    </w:p>
    <w:p w:rsidR="00E31804" w:rsidRPr="00E31804" w:rsidRDefault="00E31804" w:rsidP="00E31804">
      <w:pPr>
        <w:jc w:val="both"/>
        <w:rPr>
          <w:b/>
          <w:color w:val="0070C0"/>
        </w:rPr>
      </w:pPr>
    </w:p>
    <w:p w:rsidR="00E31804" w:rsidRPr="00E31804" w:rsidRDefault="00E31804" w:rsidP="00E31804">
      <w:pPr>
        <w:jc w:val="both"/>
        <w:rPr>
          <w:b/>
          <w:color w:val="0070C0"/>
        </w:rPr>
      </w:pPr>
      <w:r w:rsidRPr="00E31804">
        <w:rPr>
          <w:b/>
          <w:color w:val="0070C0"/>
        </w:rPr>
        <w:t>R: La consulta no dice relación con aclaración de bases.</w:t>
      </w:r>
    </w:p>
    <w:sectPr w:rsidR="00E31804" w:rsidRPr="00E318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9EB"/>
    <w:multiLevelType w:val="hybridMultilevel"/>
    <w:tmpl w:val="08DC608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62021"/>
    <w:multiLevelType w:val="hybridMultilevel"/>
    <w:tmpl w:val="AAFC24D2"/>
    <w:lvl w:ilvl="0" w:tplc="4860F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3C"/>
    <w:rsid w:val="000B4096"/>
    <w:rsid w:val="001A2389"/>
    <w:rsid w:val="00211C89"/>
    <w:rsid w:val="0030493C"/>
    <w:rsid w:val="00463ACC"/>
    <w:rsid w:val="004820A0"/>
    <w:rsid w:val="00531311"/>
    <w:rsid w:val="005C5FAC"/>
    <w:rsid w:val="00637BF2"/>
    <w:rsid w:val="00690708"/>
    <w:rsid w:val="006D6B0B"/>
    <w:rsid w:val="00AA1B4E"/>
    <w:rsid w:val="00E1081C"/>
    <w:rsid w:val="00E3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223F"/>
  <w15:docId w15:val="{A464CFC7-7AD4-493B-AE85-FF1B0FE0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93C"/>
    <w:pPr>
      <w:spacing w:after="0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93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2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Valdivia</dc:creator>
  <cp:lastModifiedBy>Luis Orellana</cp:lastModifiedBy>
  <cp:revision>2</cp:revision>
  <cp:lastPrinted>2019-11-26T15:10:00Z</cp:lastPrinted>
  <dcterms:created xsi:type="dcterms:W3CDTF">2019-11-28T18:56:00Z</dcterms:created>
  <dcterms:modified xsi:type="dcterms:W3CDTF">2019-11-28T18:56:00Z</dcterms:modified>
</cp:coreProperties>
</file>