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49" w:rsidRPr="00BB3349" w:rsidRDefault="00BB3349" w:rsidP="00BB3349">
      <w:pPr>
        <w:spacing w:after="0" w:line="240" w:lineRule="auto"/>
        <w:jc w:val="center"/>
        <w:rPr>
          <w:rFonts w:ascii="gobCL" w:hAnsi="gobCL" w:cs="Times New Roman"/>
          <w:b/>
          <w:u w:val="single"/>
        </w:rPr>
      </w:pPr>
      <w:r w:rsidRPr="00BB3349">
        <w:rPr>
          <w:rFonts w:ascii="gobCL" w:hAnsi="gobCL" w:cs="Times New Roman"/>
          <w:b/>
        </w:rPr>
        <w:t xml:space="preserve">ACLARACIONES A LAS BASES DIRIGIDAS AL CORREO ELECTRÓNICO </w:t>
      </w:r>
      <w:hyperlink r:id="rId5" w:history="1">
        <w:r w:rsidRPr="00BB3349">
          <w:rPr>
            <w:rFonts w:ascii="gobCL" w:hAnsi="gobCL" w:cs="Times New Roman"/>
            <w:b/>
            <w:color w:val="0000FF" w:themeColor="hyperlink"/>
            <w:u w:val="single"/>
          </w:rPr>
          <w:t>SUBASTAPUBLICA@SUBPESCA.CL</w:t>
        </w:r>
      </w:hyperlink>
      <w:r w:rsidRPr="00BB3349">
        <w:rPr>
          <w:rFonts w:ascii="gobCL" w:hAnsi="gobCL" w:cs="Times New Roman"/>
          <w:b/>
        </w:rPr>
        <w:t xml:space="preserve">, </w:t>
      </w:r>
      <w:r w:rsidRPr="00BB3349">
        <w:rPr>
          <w:rFonts w:ascii="gobCL" w:hAnsi="gobCL" w:cs="Times New Roman"/>
          <w:b/>
          <w:u w:val="single"/>
        </w:rPr>
        <w:t>SEGÚN EL ORDEN DE LLEGADA Y DENTRO DEL PLAZO DE 72 HORAS.</w:t>
      </w:r>
    </w:p>
    <w:p w:rsidR="00BB3349" w:rsidRDefault="00BB3349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BB3349" w:rsidRDefault="00BB3349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C328B7" w:rsidRPr="00C328B7" w:rsidRDefault="00BB3349" w:rsidP="00C328B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</w:t>
      </w:r>
      <w:r w:rsidR="00821192" w:rsidRPr="00BB3349">
        <w:rPr>
          <w:rFonts w:ascii="gobCL" w:hAnsi="gobCL" w:cs="Times New Roman"/>
          <w:b/>
        </w:rPr>
        <w:t xml:space="preserve">Es posible que puedan participar en la subasta de reasignación a que alude la Resolución N° </w:t>
      </w:r>
      <w:proofErr w:type="gramStart"/>
      <w:r w:rsidR="00821192" w:rsidRPr="00BB3349">
        <w:rPr>
          <w:rFonts w:ascii="gobCL" w:hAnsi="gobCL" w:cs="Times New Roman"/>
          <w:b/>
        </w:rPr>
        <w:t>3542:Las</w:t>
      </w:r>
      <w:proofErr w:type="gramEnd"/>
      <w:r w:rsidR="00821192" w:rsidRPr="00BB3349">
        <w:rPr>
          <w:rFonts w:ascii="gobCL" w:hAnsi="gobCL" w:cs="Times New Roman"/>
          <w:b/>
        </w:rPr>
        <w:t xml:space="preserve"> personas chilenas y extranjeras con residencia definitiva en el país y/o las personas jurídicas constituidas en Chile?.</w:t>
      </w:r>
      <w:r w:rsidR="00C328B7">
        <w:rPr>
          <w:rFonts w:ascii="gobCL" w:hAnsi="gobCL" w:cs="Times New Roman"/>
          <w:b/>
        </w:rPr>
        <w:t xml:space="preserve"> </w:t>
      </w:r>
      <w:r w:rsidR="00C328B7" w:rsidRPr="00C328B7">
        <w:rPr>
          <w:rFonts w:ascii="gobCL" w:hAnsi="gobCL" w:cs="Times New Roman"/>
          <w:b/>
        </w:rPr>
        <w:t>Lo anterior por cuanto en el propio considerando hace mención que el D.S 97 de 1996 establece que en caso de caducidad o renuncia de un permiso Extraordinario del sector pesquero artesanal se procederá a la reasignación de este de acuerdo a las normas del Párrafo 4°.</w:t>
      </w:r>
    </w:p>
    <w:p w:rsidR="00C328B7" w:rsidRPr="00C328B7" w:rsidRDefault="00C328B7" w:rsidP="00C328B7">
      <w:pPr>
        <w:pStyle w:val="Prrafodelista"/>
        <w:spacing w:after="0" w:line="240" w:lineRule="auto"/>
        <w:jc w:val="both"/>
        <w:rPr>
          <w:rFonts w:ascii="gobCL" w:hAnsi="gobCL" w:cs="Times New Roman"/>
          <w:b/>
        </w:rPr>
      </w:pPr>
      <w:r w:rsidRPr="00C328B7">
        <w:rPr>
          <w:rFonts w:ascii="gobCL" w:hAnsi="gobCL" w:cs="Times New Roman"/>
          <w:b/>
        </w:rPr>
        <w:t xml:space="preserve">Por otro lado el artículo 15°trasitorio de la Ley 20.657 señala que </w:t>
      </w:r>
      <w:proofErr w:type="gramStart"/>
      <w:r w:rsidRPr="00C328B7">
        <w:rPr>
          <w:rFonts w:ascii="gobCL" w:hAnsi="gobCL" w:cs="Times New Roman"/>
          <w:b/>
        </w:rPr>
        <w:t>“ los</w:t>
      </w:r>
      <w:proofErr w:type="gramEnd"/>
      <w:r w:rsidRPr="00C328B7">
        <w:rPr>
          <w:rFonts w:ascii="gobCL" w:hAnsi="gobCL" w:cs="Times New Roman"/>
          <w:b/>
        </w:rPr>
        <w:t xml:space="preserve"> remanentes no asignados en la subasta durante un año calendario ACRECERAN la cuota a licitar del otro sector.</w:t>
      </w:r>
    </w:p>
    <w:p w:rsidR="00821192" w:rsidRPr="00BB3349" w:rsidRDefault="00C328B7" w:rsidP="00C328B7">
      <w:pPr>
        <w:pStyle w:val="Prrafodelista"/>
        <w:spacing w:after="0" w:line="240" w:lineRule="auto"/>
        <w:jc w:val="both"/>
        <w:rPr>
          <w:rFonts w:ascii="gobCL" w:hAnsi="gobCL" w:cs="Times New Roman"/>
          <w:b/>
        </w:rPr>
      </w:pPr>
      <w:bookmarkStart w:id="0" w:name="_GoBack"/>
      <w:bookmarkEnd w:id="0"/>
      <w:r w:rsidRPr="00C328B7">
        <w:rPr>
          <w:rFonts w:ascii="gobCL" w:hAnsi="gobCL" w:cs="Times New Roman"/>
          <w:b/>
        </w:rPr>
        <w:t xml:space="preserve">Como se desprende de las resoluciones de las subastas de reasignación hay permisos extraordinarios de pesca </w:t>
      </w:r>
      <w:proofErr w:type="gramStart"/>
      <w:r w:rsidRPr="00C328B7">
        <w:rPr>
          <w:rFonts w:ascii="gobCL" w:hAnsi="gobCL" w:cs="Times New Roman"/>
          <w:b/>
        </w:rPr>
        <w:t>artesanales  que</w:t>
      </w:r>
      <w:proofErr w:type="gramEnd"/>
      <w:r w:rsidRPr="00C328B7">
        <w:rPr>
          <w:rFonts w:ascii="gobCL" w:hAnsi="gobCL" w:cs="Times New Roman"/>
          <w:b/>
        </w:rPr>
        <w:t xml:space="preserve"> se han subastado TRES veces.</w:t>
      </w:r>
    </w:p>
    <w:p w:rsidR="00821192" w:rsidRPr="00BB3349" w:rsidRDefault="00821192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821192" w:rsidRPr="00BB3349" w:rsidRDefault="00821192" w:rsidP="001403DC">
      <w:pPr>
        <w:tabs>
          <w:tab w:val="left" w:pos="709"/>
        </w:tabs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 xml:space="preserve">No. Solo podrán participar aquellas personas señaladas en el numeral 4.- de la Res. Ex. N° 3542 de 2019. </w:t>
      </w:r>
    </w:p>
    <w:p w:rsidR="00821192" w:rsidRPr="00821192" w:rsidRDefault="00821192" w:rsidP="00BB3349">
      <w:pPr>
        <w:spacing w:after="0" w:line="240" w:lineRule="auto"/>
        <w:ind w:firstLine="709"/>
        <w:jc w:val="both"/>
        <w:rPr>
          <w:rFonts w:ascii="gobCL" w:hAnsi="gobCL" w:cs="Times New Roman"/>
          <w:b/>
          <w:color w:val="365F91" w:themeColor="accent1" w:themeShade="BF"/>
        </w:rPr>
      </w:pPr>
    </w:p>
    <w:p w:rsidR="006E63E6" w:rsidRPr="00BB3349" w:rsidRDefault="006E63E6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¿Puede participar en la subasta un pescador artesanal inscrito en el Registro Artesanal de las regiones de Aysén del General Carlos Ibáñez del Campo y de Magallanes y la Antártida Chilena sin estar inscrito en el registro artesanal  de Bacalao de profundidad?</w:t>
      </w:r>
    </w:p>
    <w:p w:rsidR="006E63E6" w:rsidRPr="00BB3349" w:rsidRDefault="006E63E6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6E63E6" w:rsidRPr="00BB3349" w:rsidRDefault="006E63E6" w:rsidP="001403DC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Sí. Los pescadores artesanales inscritos en el RPA de la Región de Aysén del General Carlos Ibáñez del Campo y de la Región de Magallanes</w:t>
      </w:r>
      <w:r w:rsidR="002F2183" w:rsidRPr="00BB3349">
        <w:rPr>
          <w:rFonts w:ascii="gobCL" w:hAnsi="gobCL" w:cs="Times New Roman"/>
          <w:b/>
          <w:color w:val="365F91" w:themeColor="accent1" w:themeShade="BF"/>
        </w:rPr>
        <w:t xml:space="preserve"> y La </w:t>
      </w:r>
      <w:r w:rsidR="00584186" w:rsidRPr="00BB3349">
        <w:rPr>
          <w:rFonts w:ascii="gobCL" w:hAnsi="gobCL" w:cs="Times New Roman"/>
          <w:b/>
          <w:color w:val="365F91" w:themeColor="accent1" w:themeShade="BF"/>
        </w:rPr>
        <w:t>Antártica</w:t>
      </w:r>
      <w:r w:rsidR="002F2183" w:rsidRPr="00BB3349">
        <w:rPr>
          <w:rFonts w:ascii="gobCL" w:hAnsi="gobCL" w:cs="Times New Roman"/>
          <w:b/>
          <w:color w:val="365F91" w:themeColor="accent1" w:themeShade="BF"/>
        </w:rPr>
        <w:t xml:space="preserve"> Chilena</w:t>
      </w:r>
      <w:r w:rsidRPr="00BB3349">
        <w:rPr>
          <w:rFonts w:ascii="gobCL" w:hAnsi="gobCL" w:cs="Times New Roman"/>
          <w:b/>
          <w:color w:val="365F91" w:themeColor="accent1" w:themeShade="BF"/>
        </w:rPr>
        <w:t>, pueden participar, de conformidad al artículo 18 D del Reglamento de Subasta de Permisos Extraordinarios de Pesca.</w:t>
      </w:r>
    </w:p>
    <w:p w:rsidR="006E63E6" w:rsidRPr="006E63E6" w:rsidRDefault="006E63E6" w:rsidP="00BB3349">
      <w:pPr>
        <w:spacing w:after="0" w:line="240" w:lineRule="auto"/>
        <w:ind w:firstLine="709"/>
        <w:jc w:val="both"/>
        <w:rPr>
          <w:rFonts w:ascii="gobCL" w:hAnsi="gobCL" w:cs="Times New Roman"/>
          <w:b/>
          <w:color w:val="365F91" w:themeColor="accent1" w:themeShade="BF"/>
        </w:rPr>
      </w:pPr>
    </w:p>
    <w:p w:rsidR="006E63E6" w:rsidRPr="00BB3349" w:rsidRDefault="006E63E6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¿Si eventualmente un pescador artesanal se adjudica un lo</w:t>
      </w:r>
      <w:r w:rsidR="00584186">
        <w:rPr>
          <w:rFonts w:ascii="gobCL" w:hAnsi="gobCL" w:cs="Times New Roman"/>
          <w:b/>
        </w:rPr>
        <w:t xml:space="preserve">te, puede transferir este lote o </w:t>
      </w:r>
      <w:r w:rsidRPr="00BB3349">
        <w:rPr>
          <w:rFonts w:ascii="gobCL" w:hAnsi="gobCL" w:cs="Times New Roman"/>
          <w:b/>
        </w:rPr>
        <w:t>permiso de pesca extraordinario a otro pescador artesanal? ¿Si fuera posible que requisitos debe cumplir el nuevo pescador artesanal?</w:t>
      </w:r>
    </w:p>
    <w:p w:rsidR="006E63E6" w:rsidRPr="00BB3349" w:rsidRDefault="006E63E6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6E63E6" w:rsidRPr="00BB3349" w:rsidRDefault="006E63E6" w:rsidP="001403DC">
      <w:pPr>
        <w:spacing w:after="0" w:line="240" w:lineRule="auto"/>
        <w:ind w:left="709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Sí. Lo que puede transferir es el permiso extraordinario de pesca, atendido lo dispuesto en el artículo</w:t>
      </w:r>
      <w:r w:rsidR="009128C5" w:rsidRPr="00BB3349">
        <w:rPr>
          <w:rFonts w:ascii="gobCL" w:hAnsi="gobCL" w:cs="Times New Roman"/>
          <w:b/>
          <w:color w:val="365F91" w:themeColor="accent1" w:themeShade="BF"/>
        </w:rPr>
        <w:t xml:space="preserve"> 40 A en relación con los artículos 30 y 30 A de la Ley General de Pesca y Acuicultura</w:t>
      </w:r>
      <w:r w:rsidR="009128C5" w:rsidRPr="00BB3349">
        <w:rPr>
          <w:rFonts w:ascii="gobCL" w:hAnsi="gobCL" w:cs="Times New Roman"/>
          <w:b/>
        </w:rPr>
        <w:t xml:space="preserve">. </w:t>
      </w:r>
    </w:p>
    <w:p w:rsidR="002F2183" w:rsidRPr="00BB3349" w:rsidRDefault="002F2183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9128C5" w:rsidRPr="00BB3349" w:rsidRDefault="009128C5" w:rsidP="001403DC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 xml:space="preserve">En este caso a quien se transfiera el permiso, deberá reunir la calidad de </w:t>
      </w:r>
      <w:r w:rsidR="002F2183" w:rsidRPr="00BB3349">
        <w:rPr>
          <w:rFonts w:ascii="gobCL" w:hAnsi="gobCL" w:cs="Times New Roman"/>
          <w:b/>
          <w:color w:val="365F91" w:themeColor="accent1" w:themeShade="BF"/>
        </w:rPr>
        <w:t>armador artesanal inscrito en el RPA de bacalao de profundidad o ser pescador artesanal inscrito en el R</w:t>
      </w:r>
      <w:r w:rsidR="002F2183" w:rsidRPr="006E63E6">
        <w:rPr>
          <w:rFonts w:ascii="gobCL" w:hAnsi="gobCL" w:cs="Times New Roman"/>
          <w:b/>
          <w:color w:val="365F91" w:themeColor="accent1" w:themeShade="BF"/>
        </w:rPr>
        <w:t xml:space="preserve">egistro </w:t>
      </w:r>
      <w:r w:rsidR="002F2183" w:rsidRPr="00BB3349">
        <w:rPr>
          <w:rFonts w:ascii="gobCL" w:hAnsi="gobCL" w:cs="Times New Roman"/>
          <w:b/>
          <w:color w:val="365F91" w:themeColor="accent1" w:themeShade="BF"/>
        </w:rPr>
        <w:t>Artesanal de las Regiones de Aysén del General Carlos Ibá</w:t>
      </w:r>
      <w:r w:rsidR="002F2183" w:rsidRPr="006E63E6">
        <w:rPr>
          <w:rFonts w:ascii="gobCL" w:hAnsi="gobCL" w:cs="Times New Roman"/>
          <w:b/>
          <w:color w:val="365F91" w:themeColor="accent1" w:themeShade="BF"/>
        </w:rPr>
        <w:t xml:space="preserve">ñez </w:t>
      </w:r>
      <w:r w:rsidR="002F2183" w:rsidRPr="006E63E6">
        <w:rPr>
          <w:rFonts w:ascii="gobCL" w:hAnsi="gobCL" w:cs="Times New Roman"/>
          <w:b/>
          <w:color w:val="365F91" w:themeColor="accent1" w:themeShade="BF"/>
        </w:rPr>
        <w:lastRenderedPageBreak/>
        <w:t xml:space="preserve">del Campo y de </w:t>
      </w:r>
      <w:r w:rsidR="002F2183" w:rsidRPr="00BB3349">
        <w:rPr>
          <w:rFonts w:ascii="gobCL" w:hAnsi="gobCL" w:cs="Times New Roman"/>
          <w:b/>
          <w:color w:val="365F91" w:themeColor="accent1" w:themeShade="BF"/>
        </w:rPr>
        <w:t>M</w:t>
      </w:r>
      <w:r w:rsidR="002F2183" w:rsidRPr="006E63E6">
        <w:rPr>
          <w:rFonts w:ascii="gobCL" w:hAnsi="gobCL" w:cs="Times New Roman"/>
          <w:b/>
          <w:color w:val="365F91" w:themeColor="accent1" w:themeShade="BF"/>
        </w:rPr>
        <w:t>agallanes y la Antártida Chilena</w:t>
      </w:r>
      <w:r w:rsidR="002F2183" w:rsidRPr="00BB3349">
        <w:rPr>
          <w:rFonts w:ascii="gobCL" w:hAnsi="gobCL" w:cs="Times New Roman"/>
          <w:b/>
          <w:color w:val="365F91" w:themeColor="accent1" w:themeShade="BF"/>
        </w:rPr>
        <w:t xml:space="preserve"> y cumplir con lo dispuesto en el artículo 18 H del Reglamento y normas anteriormente citadas.</w:t>
      </w:r>
    </w:p>
    <w:p w:rsidR="002F2183" w:rsidRPr="006E63E6" w:rsidRDefault="002F2183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6E63E6" w:rsidRPr="00BB3349" w:rsidRDefault="002F2183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</w:t>
      </w:r>
      <w:r w:rsidR="006E63E6" w:rsidRPr="00BB3349">
        <w:rPr>
          <w:rFonts w:ascii="gobCL" w:hAnsi="gobCL" w:cs="Times New Roman"/>
          <w:b/>
        </w:rPr>
        <w:t>Si un oferente presenta oferta por los 5 lotes, y se adjudica  un lote, puede desistirse de participar en la subasta del lote siguiente?</w:t>
      </w:r>
    </w:p>
    <w:p w:rsidR="002F2183" w:rsidRPr="00BB3349" w:rsidRDefault="002F2183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2F2183" w:rsidRDefault="002F2183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No. El número de ofertas presentadas manifiestan la voluntad del interesado de participar por los lotes que ha ofertado.</w:t>
      </w:r>
      <w:r w:rsidR="00584186">
        <w:rPr>
          <w:rFonts w:ascii="gobCL" w:hAnsi="gobCL" w:cs="Times New Roman"/>
          <w:b/>
          <w:color w:val="365F91" w:themeColor="accent1" w:themeShade="BF"/>
        </w:rPr>
        <w:t xml:space="preserve"> </w:t>
      </w:r>
      <w:r w:rsidRPr="00BB3349">
        <w:rPr>
          <w:rFonts w:ascii="gobCL" w:hAnsi="gobCL" w:cs="Times New Roman"/>
          <w:b/>
          <w:color w:val="365F91" w:themeColor="accent1" w:themeShade="BF"/>
        </w:rPr>
        <w:t>Además, no se admiten interrupciones de los participantes durante el proceso de la Subasta.</w:t>
      </w:r>
    </w:p>
    <w:p w:rsidR="00584186" w:rsidRPr="00BB3349" w:rsidRDefault="00584186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>
        <w:rPr>
          <w:rFonts w:ascii="gobCL" w:hAnsi="gobCL" w:cs="Times New Roman"/>
          <w:b/>
          <w:color w:val="365F91" w:themeColor="accent1" w:themeShade="BF"/>
        </w:rPr>
        <w:t>Sin perjuicio de lo anterior, si solo presenta una garantía, al adjudicarse un lote, no podrá seguir participando en las subastas de los siguientes lotes.</w:t>
      </w:r>
    </w:p>
    <w:p w:rsidR="002F2183" w:rsidRPr="006E63E6" w:rsidRDefault="002F2183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6E63E6" w:rsidRDefault="002F2183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</w:t>
      </w:r>
      <w:r w:rsidR="006E63E6" w:rsidRPr="00BB3349">
        <w:rPr>
          <w:rFonts w:ascii="gobCL" w:hAnsi="gobCL" w:cs="Times New Roman"/>
          <w:b/>
        </w:rPr>
        <w:t>Si un oferente adquiere varios lotes, puede enajenar  algunos de ellos?</w:t>
      </w:r>
    </w:p>
    <w:p w:rsidR="00BB3349" w:rsidRPr="00BB3349" w:rsidRDefault="00BB3349" w:rsidP="00BB3349">
      <w:pPr>
        <w:pStyle w:val="Prrafodelista"/>
        <w:spacing w:after="0" w:line="240" w:lineRule="auto"/>
        <w:jc w:val="both"/>
        <w:rPr>
          <w:rFonts w:ascii="gobCL" w:hAnsi="gobCL" w:cs="Times New Roman"/>
          <w:b/>
        </w:rPr>
      </w:pPr>
    </w:p>
    <w:p w:rsidR="002F2183" w:rsidRDefault="002F2183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Sí.</w:t>
      </w:r>
    </w:p>
    <w:p w:rsidR="00BB3349" w:rsidRPr="006E63E6" w:rsidRDefault="00BB3349" w:rsidP="00BB3349">
      <w:pPr>
        <w:spacing w:after="0" w:line="240" w:lineRule="auto"/>
        <w:jc w:val="both"/>
        <w:rPr>
          <w:rFonts w:ascii="gobCL" w:hAnsi="gobCL" w:cs="Times New Roman"/>
          <w:b/>
          <w:color w:val="365F91" w:themeColor="accent1" w:themeShade="BF"/>
        </w:rPr>
      </w:pPr>
    </w:p>
    <w:p w:rsidR="006E63E6" w:rsidRPr="00BB3349" w:rsidRDefault="002F2183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</w:t>
      </w:r>
      <w:r w:rsidR="006E63E6" w:rsidRPr="00BB3349">
        <w:rPr>
          <w:rFonts w:ascii="gobCL" w:hAnsi="gobCL" w:cs="Times New Roman"/>
          <w:b/>
        </w:rPr>
        <w:t>Si un oferente adquiere varios</w:t>
      </w:r>
      <w:r w:rsidRPr="00BB3349">
        <w:rPr>
          <w:rFonts w:ascii="gobCL" w:hAnsi="gobCL" w:cs="Times New Roman"/>
          <w:b/>
        </w:rPr>
        <w:t xml:space="preserve"> lotes, y durante el año continú</w:t>
      </w:r>
      <w:r w:rsidR="006E63E6" w:rsidRPr="00BB3349">
        <w:rPr>
          <w:rFonts w:ascii="gobCL" w:hAnsi="gobCL" w:cs="Times New Roman"/>
          <w:b/>
        </w:rPr>
        <w:t xml:space="preserve">a pagando solo alguno de ellos, pierde la adjudicación de todos los lotes o solo de los que deja de pagar? </w:t>
      </w:r>
      <w:r w:rsidRPr="00BB3349">
        <w:rPr>
          <w:rFonts w:ascii="gobCL" w:hAnsi="gobCL" w:cs="Times New Roman"/>
          <w:b/>
        </w:rPr>
        <w:t>¿</w:t>
      </w:r>
      <w:r w:rsidR="006E63E6" w:rsidRPr="00BB3349">
        <w:rPr>
          <w:rFonts w:ascii="gobCL" w:hAnsi="gobCL" w:cs="Times New Roman"/>
          <w:b/>
        </w:rPr>
        <w:t>Existe alguna otra sanción extra en caso que el adjudicatario deje de pagar?</w:t>
      </w:r>
    </w:p>
    <w:p w:rsidR="002F2183" w:rsidRPr="00BB3349" w:rsidRDefault="002F2183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2F2183" w:rsidRPr="00BB3349" w:rsidRDefault="002F2183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 xml:space="preserve">Perderá la adjudicación de los lotes que deje de pagar. </w:t>
      </w:r>
    </w:p>
    <w:p w:rsidR="002F2183" w:rsidRPr="00BB3349" w:rsidRDefault="002F2183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 xml:space="preserve">En cuanto a las sanciones, </w:t>
      </w:r>
      <w:r w:rsidR="00C64FE8" w:rsidRPr="00BB3349">
        <w:rPr>
          <w:rFonts w:ascii="gobCL" w:hAnsi="gobCL" w:cs="Times New Roman"/>
          <w:b/>
          <w:color w:val="365F91" w:themeColor="accent1" w:themeShade="BF"/>
        </w:rPr>
        <w:t>el no pago de una de las cuotas constituirá causal de caducidad del permiso extraordinario de pesca y su titular no podrá participar en nuevas subastas</w:t>
      </w:r>
      <w:r w:rsidR="00584186">
        <w:rPr>
          <w:rFonts w:ascii="gobCL" w:hAnsi="gobCL" w:cs="Times New Roman"/>
          <w:b/>
          <w:color w:val="365F91" w:themeColor="accent1" w:themeShade="BF"/>
        </w:rPr>
        <w:t xml:space="preserve"> en relación a ese lote</w:t>
      </w:r>
      <w:r w:rsidR="00C64FE8" w:rsidRPr="00BB3349">
        <w:rPr>
          <w:rFonts w:ascii="gobCL" w:hAnsi="gobCL" w:cs="Times New Roman"/>
          <w:b/>
          <w:color w:val="365F91" w:themeColor="accent1" w:themeShade="BF"/>
        </w:rPr>
        <w:t xml:space="preserve">. </w:t>
      </w:r>
    </w:p>
    <w:p w:rsidR="002F2183" w:rsidRPr="006E63E6" w:rsidRDefault="002F2183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6E63E6" w:rsidRPr="00BB3349" w:rsidRDefault="00C64FE8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¿</w:t>
      </w:r>
      <w:r w:rsidR="006E63E6" w:rsidRPr="00BB3349">
        <w:rPr>
          <w:rFonts w:ascii="gobCL" w:hAnsi="gobCL" w:cs="Times New Roman"/>
          <w:b/>
        </w:rPr>
        <w:t>Si un pe</w:t>
      </w:r>
      <w:r w:rsidRPr="00BB3349">
        <w:rPr>
          <w:rFonts w:ascii="gobCL" w:hAnsi="gobCL" w:cs="Times New Roman"/>
          <w:b/>
        </w:rPr>
        <w:t>s</w:t>
      </w:r>
      <w:r w:rsidR="006E63E6" w:rsidRPr="00BB3349">
        <w:rPr>
          <w:rFonts w:ascii="gobCL" w:hAnsi="gobCL" w:cs="Times New Roman"/>
          <w:b/>
        </w:rPr>
        <w:t xml:space="preserve">cador artesanal se adjudica un lote, basta para proceder  a hacer uso de su derecho de pesca que cuente con una nave pesquera artesanal aun cuando sea arrendada o entregada en comodato? </w:t>
      </w:r>
      <w:proofErr w:type="gramStart"/>
      <w:r w:rsidR="006E63E6" w:rsidRPr="00BB3349">
        <w:rPr>
          <w:rFonts w:ascii="gobCL" w:hAnsi="gobCL" w:cs="Times New Roman"/>
          <w:b/>
        </w:rPr>
        <w:t xml:space="preserve">Debe esta nave reunir algún requisito extra o contar </w:t>
      </w:r>
      <w:r w:rsidRPr="00BB3349">
        <w:rPr>
          <w:rFonts w:ascii="gobCL" w:hAnsi="gobCL" w:cs="Times New Roman"/>
          <w:b/>
        </w:rPr>
        <w:t>con algún permiso extra?</w:t>
      </w:r>
      <w:proofErr w:type="gramEnd"/>
    </w:p>
    <w:p w:rsidR="003D4624" w:rsidRPr="00BB3349" w:rsidRDefault="003D4624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C64FE8" w:rsidRPr="00BB3349" w:rsidRDefault="00C64FE8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La embarca</w:t>
      </w:r>
      <w:r w:rsidR="003D4624" w:rsidRPr="00BB3349">
        <w:rPr>
          <w:rFonts w:ascii="gobCL" w:hAnsi="gobCL" w:cs="Times New Roman"/>
          <w:b/>
          <w:color w:val="365F91" w:themeColor="accent1" w:themeShade="BF"/>
        </w:rPr>
        <w:t>ción artesanal con la cual operará</w:t>
      </w:r>
      <w:r w:rsidRPr="00BB3349">
        <w:rPr>
          <w:rFonts w:ascii="gobCL" w:hAnsi="gobCL" w:cs="Times New Roman"/>
          <w:b/>
          <w:color w:val="365F91" w:themeColor="accent1" w:themeShade="BF"/>
        </w:rPr>
        <w:t xml:space="preserve"> debe reunir los requisitos señalados en el numeral 18 de la Res. Ex. N° 3542 de 2019 que aprueba las Bases de Subasta de Reasignación de Permisos Extraordinarios de Pesca.</w:t>
      </w:r>
    </w:p>
    <w:p w:rsidR="003D4624" w:rsidRPr="006E63E6" w:rsidRDefault="003D4624" w:rsidP="00BB3349">
      <w:pPr>
        <w:spacing w:after="0" w:line="240" w:lineRule="auto"/>
        <w:ind w:left="709"/>
        <w:jc w:val="both"/>
        <w:rPr>
          <w:rFonts w:ascii="gobCL" w:hAnsi="gobCL" w:cs="Times New Roman"/>
          <w:b/>
        </w:rPr>
      </w:pPr>
    </w:p>
    <w:p w:rsidR="006E63E6" w:rsidRPr="00BB3349" w:rsidRDefault="006E63E6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 w:rsidRPr="00BB3349">
        <w:rPr>
          <w:rFonts w:ascii="gobCL" w:hAnsi="gobCL" w:cs="Times New Roman"/>
          <w:b/>
        </w:rPr>
        <w:t>A modo de ejemplo, si un pescador artesanal ofrece 100</w:t>
      </w:r>
      <w:r w:rsidR="003D4624" w:rsidRPr="00BB3349">
        <w:rPr>
          <w:rFonts w:ascii="gobCL" w:hAnsi="gobCL" w:cs="Times New Roman"/>
          <w:b/>
        </w:rPr>
        <w:t xml:space="preserve"> UTM</w:t>
      </w:r>
      <w:r w:rsidRPr="00BB3349">
        <w:rPr>
          <w:rFonts w:ascii="gobCL" w:hAnsi="gobCL" w:cs="Times New Roman"/>
          <w:b/>
        </w:rPr>
        <w:t xml:space="preserve"> por el lote 1 y se lo adjudica, </w:t>
      </w:r>
      <w:r w:rsidR="003D4624" w:rsidRPr="00BB3349">
        <w:rPr>
          <w:rFonts w:ascii="gobCL" w:hAnsi="gobCL" w:cs="Times New Roman"/>
          <w:b/>
        </w:rPr>
        <w:t>¿</w:t>
      </w:r>
      <w:r w:rsidRPr="00BB3349">
        <w:rPr>
          <w:rFonts w:ascii="gobCL" w:hAnsi="gobCL" w:cs="Times New Roman"/>
          <w:b/>
        </w:rPr>
        <w:t>debe pagar  100 UTM cada año o las 100 UTM se dividen e</w:t>
      </w:r>
      <w:r w:rsidR="003D4624" w:rsidRPr="00BB3349">
        <w:rPr>
          <w:rFonts w:ascii="gobCL" w:hAnsi="gobCL" w:cs="Times New Roman"/>
          <w:b/>
        </w:rPr>
        <w:t>n los años de vigencia del lote, p</w:t>
      </w:r>
      <w:r w:rsidRPr="00BB3349">
        <w:rPr>
          <w:rFonts w:ascii="gobCL" w:hAnsi="gobCL" w:cs="Times New Roman"/>
          <w:b/>
        </w:rPr>
        <w:t>or ejemplo en 5 años?</w:t>
      </w:r>
    </w:p>
    <w:p w:rsidR="003D4624" w:rsidRPr="00BB3349" w:rsidRDefault="003D4624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3D4624" w:rsidRPr="00BB3349" w:rsidRDefault="003D4624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En el caso de ejemplo, las 100 UTM se dividen en los años de vigencia del permiso.</w:t>
      </w:r>
    </w:p>
    <w:p w:rsidR="003D4624" w:rsidRPr="006E63E6" w:rsidRDefault="003D4624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6E63E6" w:rsidRPr="00BB3349" w:rsidRDefault="00BB3349" w:rsidP="00BB3349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obCL" w:hAnsi="gobCL" w:cs="Times New Roman"/>
          <w:b/>
        </w:rPr>
      </w:pPr>
      <w:r>
        <w:rPr>
          <w:rFonts w:ascii="gobCL" w:hAnsi="gobCL" w:cs="Times New Roman"/>
          <w:b/>
        </w:rPr>
        <w:lastRenderedPageBreak/>
        <w:t>Por último, ¿L</w:t>
      </w:r>
      <w:r w:rsidR="006E63E6" w:rsidRPr="00BB3349">
        <w:rPr>
          <w:rFonts w:ascii="gobCL" w:hAnsi="gobCL" w:cs="Times New Roman"/>
          <w:b/>
        </w:rPr>
        <w:t>os años de vigencia del 2020 -2025 significan que el adjudicatario tiene el derecho de ejercer su permiso de pesca el año 2025 incluido o bien se termina al empezar el año 2025?</w:t>
      </w:r>
    </w:p>
    <w:p w:rsidR="00821192" w:rsidRPr="00BB3349" w:rsidRDefault="00821192" w:rsidP="00BB3349">
      <w:pPr>
        <w:spacing w:after="0" w:line="240" w:lineRule="auto"/>
        <w:jc w:val="both"/>
        <w:rPr>
          <w:rFonts w:ascii="gobCL" w:hAnsi="gobCL" w:cs="Times New Roman"/>
          <w:b/>
        </w:rPr>
      </w:pPr>
    </w:p>
    <w:p w:rsidR="00821192" w:rsidRPr="006E63E6" w:rsidRDefault="00821192" w:rsidP="00BB3349">
      <w:pPr>
        <w:spacing w:after="0" w:line="240" w:lineRule="auto"/>
        <w:ind w:left="709"/>
        <w:jc w:val="both"/>
        <w:rPr>
          <w:rFonts w:ascii="gobCL" w:hAnsi="gobCL" w:cs="Times New Roman"/>
          <w:b/>
          <w:color w:val="365F91" w:themeColor="accent1" w:themeShade="BF"/>
        </w:rPr>
      </w:pPr>
      <w:r w:rsidRPr="00BB3349">
        <w:rPr>
          <w:rFonts w:ascii="gobCL" w:hAnsi="gobCL" w:cs="Times New Roman"/>
          <w:b/>
          <w:color w:val="365F91" w:themeColor="accent1" w:themeShade="BF"/>
        </w:rPr>
        <w:t>Significa que el adjudicatario tendrá derecho, para ejercer su permiso extraordinario de pesca incluyendo el año 2025.</w:t>
      </w:r>
    </w:p>
    <w:p w:rsidR="006E63E6" w:rsidRPr="00BB3349" w:rsidRDefault="006E63E6" w:rsidP="00BB3349">
      <w:pPr>
        <w:spacing w:after="0" w:line="240" w:lineRule="auto"/>
        <w:jc w:val="center"/>
        <w:rPr>
          <w:rFonts w:ascii="gobCL" w:hAnsi="gobCL" w:cs="Times New Roman"/>
          <w:b/>
          <w:color w:val="365F91" w:themeColor="accent1" w:themeShade="BF"/>
        </w:rPr>
      </w:pPr>
    </w:p>
    <w:sectPr w:rsidR="006E63E6" w:rsidRPr="00BB33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EC"/>
    <w:multiLevelType w:val="multilevel"/>
    <w:tmpl w:val="D328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9547A"/>
    <w:multiLevelType w:val="hybridMultilevel"/>
    <w:tmpl w:val="4642DF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F69D2"/>
    <w:multiLevelType w:val="multilevel"/>
    <w:tmpl w:val="F5B0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E6"/>
    <w:rsid w:val="001403DC"/>
    <w:rsid w:val="002F2183"/>
    <w:rsid w:val="003D4624"/>
    <w:rsid w:val="00584186"/>
    <w:rsid w:val="006E63E6"/>
    <w:rsid w:val="00821192"/>
    <w:rsid w:val="009128C5"/>
    <w:rsid w:val="00B70FA8"/>
    <w:rsid w:val="00BB3349"/>
    <w:rsid w:val="00C328B7"/>
    <w:rsid w:val="00C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9EA4"/>
  <w15:docId w15:val="{AE7BC86C-7FD7-46F2-9560-5E2F93C9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bastapublica@subpesc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Luis Orellana</cp:lastModifiedBy>
  <cp:revision>2</cp:revision>
  <dcterms:created xsi:type="dcterms:W3CDTF">2019-11-28T18:50:00Z</dcterms:created>
  <dcterms:modified xsi:type="dcterms:W3CDTF">2019-11-28T18:50:00Z</dcterms:modified>
</cp:coreProperties>
</file>