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99" w:rsidRDefault="00A45299" w:rsidP="00E87F8B">
      <w:pPr>
        <w:rPr>
          <w:lang w:val="es-ES"/>
        </w:rPr>
      </w:pPr>
    </w:p>
    <w:p w:rsidR="00A45299" w:rsidRDefault="00A45299" w:rsidP="00E87F8B">
      <w:pPr>
        <w:rPr>
          <w:lang w:val="es-ES"/>
        </w:rPr>
      </w:pPr>
    </w:p>
    <w:p w:rsidR="003A67AC" w:rsidRDefault="003A67AC" w:rsidP="003A67AC">
      <w:pPr>
        <w:jc w:val="center"/>
        <w:rPr>
          <w:rFonts w:ascii="gobCL" w:hAnsi="gobCL"/>
          <w:b/>
        </w:rPr>
      </w:pPr>
    </w:p>
    <w:p w:rsidR="003A67AC" w:rsidRPr="003A67AC" w:rsidRDefault="003A67AC" w:rsidP="003A67AC">
      <w:pPr>
        <w:jc w:val="center"/>
        <w:rPr>
          <w:rFonts w:ascii="gobCL" w:hAnsi="gobCL"/>
          <w:b/>
          <w:u w:val="single"/>
        </w:rPr>
      </w:pPr>
      <w:r w:rsidRPr="003A67AC">
        <w:rPr>
          <w:rFonts w:ascii="gobCL" w:hAnsi="gobCL"/>
          <w:b/>
        </w:rPr>
        <w:t xml:space="preserve">ACLARACIONES A LAS BASES DIRIGIDAS AL CORREO ELECTRÓNICO </w:t>
      </w:r>
      <w:hyperlink r:id="rId5" w:history="1">
        <w:r w:rsidRPr="003A67AC">
          <w:rPr>
            <w:rFonts w:ascii="gobCL" w:hAnsi="gobCL"/>
            <w:b/>
            <w:color w:val="0000FF" w:themeColor="hyperlink"/>
            <w:u w:val="single"/>
          </w:rPr>
          <w:t>SUBASTAPUBLICA@SUBPESCA.CL</w:t>
        </w:r>
      </w:hyperlink>
      <w:r w:rsidRPr="003A67AC">
        <w:rPr>
          <w:rFonts w:ascii="gobCL" w:hAnsi="gobCL"/>
          <w:b/>
        </w:rPr>
        <w:t xml:space="preserve">, </w:t>
      </w:r>
      <w:r w:rsidRPr="003A67AC">
        <w:rPr>
          <w:rFonts w:ascii="gobCL" w:hAnsi="gobCL"/>
          <w:b/>
          <w:u w:val="single"/>
        </w:rPr>
        <w:t>SEGÚN EL ORDEN DE LLEGADA Y DENTRO DEL PLAZO DE 72 HORAS.</w:t>
      </w:r>
    </w:p>
    <w:p w:rsidR="003A67AC" w:rsidRPr="003A67AC" w:rsidRDefault="003A67AC" w:rsidP="003A67AC"/>
    <w:p w:rsidR="003A67AC" w:rsidRPr="003A67AC" w:rsidRDefault="003A67AC" w:rsidP="003A67AC">
      <w:pPr>
        <w:numPr>
          <w:ilvl w:val="0"/>
          <w:numId w:val="1"/>
        </w:numPr>
        <w:contextualSpacing/>
        <w:jc w:val="both"/>
        <w:rPr>
          <w:rFonts w:ascii="gobCL" w:hAnsi="gobCL"/>
          <w:b/>
          <w:lang w:val="es-ES"/>
        </w:rPr>
      </w:pPr>
      <w:r w:rsidRPr="003A67AC">
        <w:rPr>
          <w:rFonts w:ascii="gobCL" w:hAnsi="gobCL"/>
          <w:b/>
          <w:lang w:val="es-ES"/>
        </w:rPr>
        <w:t>Respecto a las bases administrativas de subasta ordinaria de permisos extraordinarios de pesca solicitamos la aclaración a la siguiente duda:</w:t>
      </w:r>
    </w:p>
    <w:p w:rsidR="003A67AC" w:rsidRPr="003A67AC" w:rsidRDefault="003A67AC" w:rsidP="003A67AC">
      <w:pPr>
        <w:jc w:val="both"/>
        <w:rPr>
          <w:rFonts w:ascii="gobCL" w:hAnsi="gobCL"/>
          <w:b/>
          <w:lang w:val="es-ES"/>
        </w:rPr>
      </w:pPr>
    </w:p>
    <w:p w:rsidR="003A67AC" w:rsidRPr="003A67AC" w:rsidRDefault="003A67AC" w:rsidP="003A67AC">
      <w:pPr>
        <w:ind w:left="709"/>
        <w:jc w:val="both"/>
        <w:rPr>
          <w:rFonts w:ascii="gobCL" w:hAnsi="gobCL"/>
          <w:b/>
          <w:lang w:val="es-ES"/>
        </w:rPr>
      </w:pPr>
      <w:r w:rsidRPr="003A67AC">
        <w:rPr>
          <w:rFonts w:ascii="gobCL" w:hAnsi="gobCL"/>
          <w:b/>
          <w:lang w:val="es-ES"/>
        </w:rPr>
        <w:t>¿Las naves aptas para poder hacer uso de estos permisos de pesca pueden ser naves artesanales, entendiéndose por naves artesanales aquellas inferiores a 18 metros?</w:t>
      </w:r>
    </w:p>
    <w:p w:rsidR="003A67AC" w:rsidRPr="003A67AC" w:rsidRDefault="003A67AC" w:rsidP="003A67AC">
      <w:pPr>
        <w:jc w:val="both"/>
        <w:rPr>
          <w:rFonts w:ascii="gobCL" w:hAnsi="gobCL"/>
          <w:b/>
          <w:lang w:val="es-ES"/>
        </w:rPr>
      </w:pPr>
    </w:p>
    <w:p w:rsidR="00A45299" w:rsidRDefault="003A67AC" w:rsidP="003A67AC">
      <w:pPr>
        <w:ind w:left="709"/>
        <w:jc w:val="both"/>
        <w:rPr>
          <w:rFonts w:ascii="gobCL" w:hAnsi="gobCL"/>
          <w:b/>
          <w:color w:val="365F91" w:themeColor="accent1" w:themeShade="BF"/>
        </w:rPr>
      </w:pPr>
      <w:r w:rsidRPr="003A67AC">
        <w:rPr>
          <w:rFonts w:ascii="gobCL" w:hAnsi="gobCL"/>
          <w:b/>
          <w:color w:val="365F91" w:themeColor="accent1" w:themeShade="BF"/>
        </w:rPr>
        <w:t>Sí. Las naves aptas para hacer efectivos los permisos extraordinarios de pesca son las naves industriales y embarcaciones artesanales, descritas en el artículo 2º Nº 8) y Nº 14)</w:t>
      </w:r>
      <w:r>
        <w:rPr>
          <w:rFonts w:ascii="gobCL" w:hAnsi="gobCL"/>
          <w:b/>
          <w:color w:val="365F91" w:themeColor="accent1" w:themeShade="BF"/>
        </w:rPr>
        <w:t>, respectivamente,</w:t>
      </w:r>
      <w:r w:rsidRPr="003A67AC">
        <w:rPr>
          <w:rFonts w:ascii="gobCL" w:hAnsi="gobCL"/>
          <w:b/>
          <w:color w:val="365F91" w:themeColor="accent1" w:themeShade="BF"/>
        </w:rPr>
        <w:t xml:space="preserve"> de la Ley General de Pesca</w:t>
      </w:r>
      <w:r>
        <w:rPr>
          <w:rFonts w:ascii="gobCL" w:hAnsi="gobCL"/>
          <w:b/>
          <w:color w:val="365F91" w:themeColor="accent1" w:themeShade="BF"/>
        </w:rPr>
        <w:t xml:space="preserve"> y Acuicultura</w:t>
      </w:r>
      <w:r w:rsidRPr="003A67AC">
        <w:rPr>
          <w:rFonts w:ascii="gobCL" w:hAnsi="gobCL"/>
          <w:b/>
          <w:color w:val="365F91" w:themeColor="accent1" w:themeShade="BF"/>
        </w:rPr>
        <w:t>, las cuales, para operar</w:t>
      </w:r>
      <w:r>
        <w:rPr>
          <w:rFonts w:ascii="gobCL" w:hAnsi="gobCL"/>
          <w:b/>
          <w:color w:val="365F91" w:themeColor="accent1" w:themeShade="BF"/>
        </w:rPr>
        <w:t>,</w:t>
      </w:r>
      <w:r w:rsidRPr="003A67AC">
        <w:rPr>
          <w:rFonts w:ascii="gobCL" w:hAnsi="gobCL"/>
          <w:b/>
          <w:color w:val="365F91" w:themeColor="accent1" w:themeShade="BF"/>
        </w:rPr>
        <w:t xml:space="preserve"> deberán cumplir con los dispuesto en la ley ya señalada y el numeral 18 de la Res. Ex. Nº 3543 de 2019</w:t>
      </w:r>
      <w:r>
        <w:rPr>
          <w:rFonts w:ascii="gobCL" w:hAnsi="gobCL"/>
          <w:b/>
          <w:color w:val="365F91" w:themeColor="accent1" w:themeShade="BF"/>
        </w:rPr>
        <w:t>.</w:t>
      </w:r>
    </w:p>
    <w:p w:rsidR="00EA3089" w:rsidRDefault="00EA3089" w:rsidP="00EA3089">
      <w:pPr>
        <w:jc w:val="both"/>
        <w:rPr>
          <w:rFonts w:ascii="gobCL" w:hAnsi="gobCL"/>
          <w:b/>
          <w:color w:val="365F91" w:themeColor="accent1" w:themeShade="BF"/>
        </w:rPr>
      </w:pPr>
    </w:p>
    <w:p w:rsidR="00EA3089" w:rsidRDefault="00EA3089" w:rsidP="00EA3089">
      <w:pPr>
        <w:pStyle w:val="Prrafodelista"/>
        <w:numPr>
          <w:ilvl w:val="0"/>
          <w:numId w:val="1"/>
        </w:numPr>
        <w:jc w:val="both"/>
        <w:rPr>
          <w:rFonts w:ascii="gobCL" w:eastAsia="Calibri" w:hAnsi="gobCL"/>
          <w:b/>
        </w:rPr>
      </w:pPr>
      <w:r>
        <w:rPr>
          <w:rFonts w:ascii="gobCL" w:eastAsia="Calibri" w:hAnsi="gobCL"/>
          <w:b/>
        </w:rPr>
        <w:t>¿</w:t>
      </w:r>
      <w:r w:rsidRPr="00EA3089">
        <w:rPr>
          <w:rFonts w:ascii="gobCL" w:eastAsia="Calibri" w:hAnsi="gobCL"/>
          <w:b/>
        </w:rPr>
        <w:t>El vale vista que debe dejarse en garantía debe ser nominativo o puede ser a la orden?</w:t>
      </w:r>
    </w:p>
    <w:p w:rsidR="007614E2" w:rsidRDefault="007614E2" w:rsidP="007614E2">
      <w:pPr>
        <w:pStyle w:val="Prrafodelista"/>
        <w:jc w:val="both"/>
        <w:rPr>
          <w:rFonts w:ascii="gobCL" w:eastAsia="Calibri" w:hAnsi="gobCL"/>
          <w:b/>
        </w:rPr>
      </w:pPr>
    </w:p>
    <w:p w:rsidR="007614E2" w:rsidRDefault="007614E2" w:rsidP="007614E2">
      <w:pPr>
        <w:pStyle w:val="Prrafodelista"/>
        <w:jc w:val="both"/>
        <w:rPr>
          <w:rFonts w:ascii="gobCL" w:eastAsia="Calibri" w:hAnsi="gobCL"/>
          <w:b/>
        </w:rPr>
      </w:pPr>
      <w:r>
        <w:rPr>
          <w:rFonts w:ascii="gobCL" w:hAnsi="gobCL"/>
          <w:b/>
          <w:bCs/>
          <w:color w:val="1F497D"/>
        </w:rPr>
        <w:t xml:space="preserve">El reglamento </w:t>
      </w:r>
      <w:bookmarkStart w:id="0" w:name="_GoBack"/>
      <w:r>
        <w:rPr>
          <w:rFonts w:ascii="gobCL" w:hAnsi="gobCL"/>
          <w:b/>
          <w:bCs/>
          <w:color w:val="1F497D"/>
        </w:rPr>
        <w:t xml:space="preserve">en su artículo </w:t>
      </w:r>
      <w:bookmarkEnd w:id="0"/>
      <w:r>
        <w:rPr>
          <w:rFonts w:ascii="gobCL" w:hAnsi="gobCL"/>
          <w:b/>
          <w:bCs/>
          <w:color w:val="1F497D"/>
        </w:rPr>
        <w:t>10, no distingue en cuanto a si el vale vista bancario debe ser nominativo, o a la orden y por tanto endosable; tampoco lo hacen las bases por lo cual ambas son válidas:</w:t>
      </w:r>
    </w:p>
    <w:p w:rsidR="00EA3089" w:rsidRDefault="00EA3089" w:rsidP="00EA3089">
      <w:pPr>
        <w:jc w:val="both"/>
        <w:rPr>
          <w:rFonts w:ascii="gobCL" w:eastAsia="Calibri" w:hAnsi="gobCL"/>
          <w:b/>
        </w:rPr>
      </w:pPr>
    </w:p>
    <w:p w:rsidR="007614E2" w:rsidRPr="007614E2" w:rsidRDefault="007614E2" w:rsidP="007614E2">
      <w:pPr>
        <w:ind w:firstLine="709"/>
        <w:rPr>
          <w:rFonts w:ascii="gobCL" w:hAnsi="gobCL"/>
          <w:b/>
          <w:color w:val="365F91" w:themeColor="accent1" w:themeShade="BF"/>
        </w:rPr>
      </w:pPr>
      <w:r w:rsidRPr="007614E2">
        <w:rPr>
          <w:rFonts w:ascii="gobCL" w:hAnsi="gobCL"/>
          <w:b/>
          <w:color w:val="365F91" w:themeColor="accent1" w:themeShade="BF"/>
        </w:rPr>
        <w:t>a) Tomado endosado a favor de:</w:t>
      </w:r>
    </w:p>
    <w:p w:rsidR="007614E2" w:rsidRPr="007614E2" w:rsidRDefault="007614E2" w:rsidP="007614E2">
      <w:pPr>
        <w:ind w:firstLine="709"/>
        <w:rPr>
          <w:rFonts w:ascii="gobCL" w:hAnsi="gobCL"/>
          <w:b/>
          <w:color w:val="365F91" w:themeColor="accent1" w:themeShade="BF"/>
        </w:rPr>
      </w:pPr>
      <w:r w:rsidRPr="007614E2">
        <w:rPr>
          <w:rFonts w:ascii="gobCL" w:hAnsi="gobCL"/>
          <w:b/>
          <w:color w:val="365F91" w:themeColor="accent1" w:themeShade="BF"/>
        </w:rPr>
        <w:t>- Subsecretaría de Pesca y Acuicultura</w:t>
      </w:r>
    </w:p>
    <w:p w:rsidR="007614E2" w:rsidRPr="007614E2" w:rsidRDefault="007614E2" w:rsidP="007614E2">
      <w:pPr>
        <w:ind w:firstLine="709"/>
        <w:rPr>
          <w:rFonts w:ascii="gobCL" w:hAnsi="gobCL"/>
          <w:b/>
          <w:color w:val="365F91" w:themeColor="accent1" w:themeShade="BF"/>
        </w:rPr>
      </w:pPr>
      <w:r w:rsidRPr="007614E2">
        <w:rPr>
          <w:rFonts w:ascii="gobCL" w:hAnsi="gobCL"/>
          <w:b/>
          <w:color w:val="365F91" w:themeColor="accent1" w:themeShade="BF"/>
        </w:rPr>
        <w:t>- Bellavista 168, piso 16°, Valparaíso</w:t>
      </w:r>
    </w:p>
    <w:p w:rsidR="007614E2" w:rsidRPr="007614E2" w:rsidRDefault="007614E2" w:rsidP="007614E2">
      <w:pPr>
        <w:ind w:firstLine="709"/>
        <w:rPr>
          <w:rFonts w:ascii="gobCL" w:hAnsi="gobCL"/>
          <w:b/>
          <w:color w:val="365F91" w:themeColor="accent1" w:themeShade="BF"/>
        </w:rPr>
      </w:pPr>
      <w:r w:rsidRPr="007614E2">
        <w:rPr>
          <w:rFonts w:ascii="gobCL" w:hAnsi="gobCL"/>
          <w:b/>
          <w:color w:val="365F91" w:themeColor="accent1" w:themeShade="BF"/>
        </w:rPr>
        <w:t>- RUT: 60.719.000-3</w:t>
      </w:r>
    </w:p>
    <w:p w:rsidR="007614E2" w:rsidRPr="007614E2" w:rsidRDefault="007614E2" w:rsidP="007614E2">
      <w:pPr>
        <w:rPr>
          <w:rFonts w:ascii="gobCL" w:hAnsi="gobCL"/>
          <w:b/>
          <w:color w:val="365F91" w:themeColor="accent1" w:themeShade="BF"/>
        </w:rPr>
      </w:pPr>
      <w:r w:rsidRPr="007614E2">
        <w:rPr>
          <w:rFonts w:ascii="gobCL" w:hAnsi="gobCL"/>
          <w:b/>
          <w:color w:val="365F91" w:themeColor="accent1" w:themeShade="BF"/>
        </w:rPr>
        <w:t> </w:t>
      </w:r>
    </w:p>
    <w:p w:rsidR="007614E2" w:rsidRPr="007614E2" w:rsidRDefault="007614E2" w:rsidP="007614E2">
      <w:pPr>
        <w:ind w:firstLine="709"/>
        <w:rPr>
          <w:rFonts w:ascii="gobCL" w:hAnsi="gobCL"/>
          <w:b/>
          <w:color w:val="365F91" w:themeColor="accent1" w:themeShade="BF"/>
        </w:rPr>
      </w:pPr>
      <w:r w:rsidRPr="007614E2">
        <w:rPr>
          <w:rFonts w:ascii="gobCL" w:hAnsi="gobCL"/>
          <w:b/>
          <w:color w:val="365F91" w:themeColor="accent1" w:themeShade="BF"/>
        </w:rPr>
        <w:t>b) Tomado nominativo a favor de:</w:t>
      </w:r>
    </w:p>
    <w:p w:rsidR="007614E2" w:rsidRPr="007614E2" w:rsidRDefault="007614E2" w:rsidP="007614E2">
      <w:pPr>
        <w:ind w:firstLine="709"/>
        <w:rPr>
          <w:rFonts w:ascii="gobCL" w:hAnsi="gobCL"/>
          <w:b/>
          <w:color w:val="365F91" w:themeColor="accent1" w:themeShade="BF"/>
        </w:rPr>
      </w:pPr>
      <w:r w:rsidRPr="007614E2">
        <w:rPr>
          <w:rFonts w:ascii="gobCL" w:hAnsi="gobCL"/>
          <w:b/>
          <w:color w:val="365F91" w:themeColor="accent1" w:themeShade="BF"/>
        </w:rPr>
        <w:t>- Subsecretaría de Pesca y Acuicultura</w:t>
      </w:r>
    </w:p>
    <w:p w:rsidR="007614E2" w:rsidRPr="007614E2" w:rsidRDefault="007614E2" w:rsidP="007614E2">
      <w:pPr>
        <w:ind w:firstLine="709"/>
        <w:rPr>
          <w:rFonts w:ascii="gobCL" w:hAnsi="gobCL"/>
          <w:b/>
          <w:color w:val="365F91" w:themeColor="accent1" w:themeShade="BF"/>
        </w:rPr>
      </w:pPr>
      <w:r w:rsidRPr="007614E2">
        <w:rPr>
          <w:rFonts w:ascii="gobCL" w:hAnsi="gobCL"/>
          <w:b/>
          <w:color w:val="365F91" w:themeColor="accent1" w:themeShade="BF"/>
        </w:rPr>
        <w:t>- Bellavista 168, piso 16°, Valparaíso</w:t>
      </w:r>
    </w:p>
    <w:p w:rsidR="007614E2" w:rsidRPr="007614E2" w:rsidRDefault="007614E2" w:rsidP="007614E2">
      <w:pPr>
        <w:ind w:firstLine="709"/>
        <w:rPr>
          <w:rFonts w:ascii="gobCL" w:hAnsi="gobCL"/>
          <w:b/>
          <w:color w:val="365F91" w:themeColor="accent1" w:themeShade="BF"/>
        </w:rPr>
      </w:pPr>
      <w:r w:rsidRPr="007614E2">
        <w:rPr>
          <w:rFonts w:ascii="gobCL" w:hAnsi="gobCL"/>
          <w:b/>
          <w:color w:val="365F91" w:themeColor="accent1" w:themeShade="BF"/>
        </w:rPr>
        <w:t>- RUT: 60.719.000-3.</w:t>
      </w:r>
    </w:p>
    <w:p w:rsidR="00EA3089" w:rsidRPr="00EA3089" w:rsidRDefault="00EA3089" w:rsidP="00EA3089">
      <w:pPr>
        <w:jc w:val="both"/>
        <w:rPr>
          <w:lang w:val="es-ES"/>
        </w:rPr>
      </w:pPr>
    </w:p>
    <w:sectPr w:rsidR="00EA3089" w:rsidRPr="00EA30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2F15"/>
    <w:multiLevelType w:val="hybridMultilevel"/>
    <w:tmpl w:val="B880AE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8B"/>
    <w:rsid w:val="00193B30"/>
    <w:rsid w:val="003A67AC"/>
    <w:rsid w:val="007614E2"/>
    <w:rsid w:val="009D710A"/>
    <w:rsid w:val="00A45299"/>
    <w:rsid w:val="00B179CE"/>
    <w:rsid w:val="00B678A7"/>
    <w:rsid w:val="00C42A1E"/>
    <w:rsid w:val="00E87F8B"/>
    <w:rsid w:val="00EA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D548E-92A4-4FAA-A2AB-7D6C8662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8B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astapublica@subpesc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Vergara</dc:creator>
  <cp:lastModifiedBy>Luis Orellana</cp:lastModifiedBy>
  <cp:revision>3</cp:revision>
  <dcterms:created xsi:type="dcterms:W3CDTF">2019-11-27T15:42:00Z</dcterms:created>
  <dcterms:modified xsi:type="dcterms:W3CDTF">2019-11-27T15:42:00Z</dcterms:modified>
</cp:coreProperties>
</file>