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3" w:rsidRPr="005C7103" w:rsidRDefault="00020D03" w:rsidP="00A51F44">
      <w:pPr>
        <w:pStyle w:val="Prrafodelista"/>
        <w:jc w:val="both"/>
        <w:rPr>
          <w:rFonts w:ascii="gobCL" w:hAnsi="gobCL"/>
          <w:b/>
          <w:u w:val="single"/>
        </w:rPr>
      </w:pPr>
      <w:r w:rsidRPr="005C7103">
        <w:rPr>
          <w:rFonts w:ascii="gobCL" w:hAnsi="gobCL"/>
          <w:b/>
          <w:u w:val="single"/>
        </w:rPr>
        <w:t>ACLARACIONES A BASES ADMINISTRATIVAS SUBASTA LICENCIA TRANSABLE DE PESCA TIPO B</w:t>
      </w:r>
    </w:p>
    <w:p w:rsidR="00020D03" w:rsidRPr="005C7103" w:rsidRDefault="00020D03" w:rsidP="00A51F44">
      <w:pPr>
        <w:pStyle w:val="Prrafodelista"/>
        <w:jc w:val="both"/>
        <w:rPr>
          <w:rFonts w:ascii="gobCL" w:hAnsi="gobCL"/>
          <w:b/>
        </w:rPr>
      </w:pPr>
    </w:p>
    <w:p w:rsidR="00020D03" w:rsidRPr="005C7103" w:rsidRDefault="00020D03" w:rsidP="00A51F44">
      <w:pPr>
        <w:ind w:left="708"/>
        <w:jc w:val="both"/>
        <w:rPr>
          <w:rFonts w:ascii="gobCL" w:hAnsi="gobCL"/>
        </w:rPr>
      </w:pPr>
      <w:r w:rsidRPr="005C7103">
        <w:rPr>
          <w:rFonts w:ascii="gobCL" w:hAnsi="gobCL"/>
          <w:b/>
        </w:rPr>
        <w:t xml:space="preserve">Aclaraciones a las bases dirigidas al correo electrónico </w:t>
      </w:r>
      <w:hyperlink r:id="rId6" w:history="1">
        <w:r w:rsidRPr="005C7103">
          <w:rPr>
            <w:rFonts w:ascii="gobCL" w:hAnsi="gobCL"/>
            <w:b/>
          </w:rPr>
          <w:t>subastapublica@subpesca.cl</w:t>
        </w:r>
      </w:hyperlink>
      <w:r w:rsidRPr="005C7103">
        <w:rPr>
          <w:rFonts w:ascii="gobCL" w:hAnsi="gobCL"/>
          <w:b/>
        </w:rPr>
        <w:t xml:space="preserve"> a la fecha de 18 marzo de 2020, según el orden de llegada y dentro del plazo de 72 horas.</w:t>
      </w:r>
    </w:p>
    <w:p w:rsidR="00020D03" w:rsidRPr="005C7103" w:rsidRDefault="00020D03" w:rsidP="00A51F44">
      <w:pPr>
        <w:ind w:left="708"/>
        <w:jc w:val="both"/>
        <w:rPr>
          <w:rFonts w:ascii="gobCL" w:hAnsi="gobCL" w:cs="Arial"/>
        </w:rPr>
      </w:pPr>
      <w:r w:rsidRPr="005C7103">
        <w:rPr>
          <w:rFonts w:ascii="gobCL" w:hAnsi="gobCL" w:cs="Arial"/>
        </w:rPr>
        <w:t>16. Les hacemos las siguientes dudas respectos a las Bases que constan en Res. Ex. N° 712 y 713 del 4 de marzo de 2020:</w:t>
      </w:r>
    </w:p>
    <w:p w:rsidR="00020D03" w:rsidRDefault="00020D03" w:rsidP="00A51F44">
      <w:pPr>
        <w:pStyle w:val="Prrafodelista"/>
        <w:numPr>
          <w:ilvl w:val="0"/>
          <w:numId w:val="4"/>
        </w:numPr>
        <w:jc w:val="both"/>
        <w:rPr>
          <w:rFonts w:ascii="gobCL" w:eastAsia="Times New Roman" w:hAnsi="gobCL" w:cs="Arial"/>
        </w:rPr>
      </w:pPr>
      <w:r w:rsidRPr="005C7103">
        <w:rPr>
          <w:rFonts w:ascii="gobCL" w:eastAsia="Times New Roman" w:hAnsi="gobCL" w:cs="Arial"/>
        </w:rPr>
        <w:t xml:space="preserve">En atención a que ambas resoluciones se refieren a los mismos recursos en las mismas unidades de pesquería, les agradeceríamos confirmar si es efectivamente necesario acompañar dos copias del Sobre N°1 “Antecedentes Administrativos” con todos los antecedentes en su interior (tomando en consideración principios de eficiencia y economía). </w:t>
      </w:r>
    </w:p>
    <w:p w:rsidR="005C7103" w:rsidRDefault="005C7103" w:rsidP="00A51F44">
      <w:pPr>
        <w:jc w:val="both"/>
        <w:rPr>
          <w:rFonts w:ascii="gobCL" w:eastAsia="Times New Roman" w:hAnsi="gobCL" w:cs="Arial"/>
        </w:rPr>
      </w:pPr>
    </w:p>
    <w:p w:rsidR="005C7103" w:rsidRPr="005C7103" w:rsidRDefault="005C7103" w:rsidP="00A51F44">
      <w:pPr>
        <w:ind w:left="708"/>
        <w:jc w:val="both"/>
        <w:rPr>
          <w:rFonts w:ascii="gobCL" w:eastAsia="Times New Roman" w:hAnsi="gobCL" w:cs="Arial"/>
          <w:b/>
          <w:color w:val="1F497D" w:themeColor="text2"/>
        </w:rPr>
      </w:pPr>
      <w:r w:rsidRPr="005C7103">
        <w:rPr>
          <w:rFonts w:ascii="gobCL" w:eastAsia="Times New Roman" w:hAnsi="gobCL" w:cs="Arial"/>
          <w:b/>
          <w:color w:val="1F497D" w:themeColor="text2"/>
        </w:rPr>
        <w:t>Cada resolución es un proceso independiente, por lo que se deben acompañar dos copias</w:t>
      </w:r>
      <w:r>
        <w:rPr>
          <w:rFonts w:ascii="gobCL" w:eastAsia="Times New Roman" w:hAnsi="gobCL" w:cs="Arial"/>
          <w:b/>
          <w:color w:val="1F497D" w:themeColor="text2"/>
        </w:rPr>
        <w:t xml:space="preserve"> </w:t>
      </w:r>
      <w:r w:rsidR="00544A51">
        <w:rPr>
          <w:rFonts w:ascii="gobCL" w:eastAsia="Times New Roman" w:hAnsi="gobCL" w:cs="Arial"/>
          <w:b/>
          <w:color w:val="1F497D" w:themeColor="text2"/>
        </w:rPr>
        <w:t xml:space="preserve">de </w:t>
      </w:r>
      <w:r>
        <w:rPr>
          <w:rFonts w:ascii="gobCL" w:eastAsia="Times New Roman" w:hAnsi="gobCL" w:cs="Arial"/>
          <w:b/>
          <w:color w:val="1F497D" w:themeColor="text2"/>
        </w:rPr>
        <w:t>antecedentes administrativos.</w:t>
      </w:r>
    </w:p>
    <w:p w:rsidR="00020D03" w:rsidRPr="005C7103" w:rsidRDefault="00020D03" w:rsidP="00A51F44">
      <w:pPr>
        <w:pStyle w:val="Prrafodelista"/>
        <w:jc w:val="both"/>
        <w:rPr>
          <w:rFonts w:ascii="gobCL" w:hAnsi="gobCL" w:cs="Arial"/>
          <w:b/>
          <w:color w:val="1F497D" w:themeColor="text2"/>
        </w:rPr>
      </w:pPr>
    </w:p>
    <w:p w:rsidR="00020D03" w:rsidRDefault="00020D03" w:rsidP="00A51F44">
      <w:pPr>
        <w:pStyle w:val="Prrafodelista"/>
        <w:numPr>
          <w:ilvl w:val="0"/>
          <w:numId w:val="4"/>
        </w:numPr>
        <w:jc w:val="both"/>
        <w:rPr>
          <w:rFonts w:ascii="gobCL" w:eastAsia="Times New Roman" w:hAnsi="gobCL" w:cs="Arial"/>
        </w:rPr>
      </w:pPr>
      <w:r w:rsidRPr="005C7103">
        <w:rPr>
          <w:rFonts w:ascii="gobCL" w:eastAsia="Times New Roman" w:hAnsi="gobCL" w:cs="Arial"/>
        </w:rPr>
        <w:t>Le agradeceríamos confirmar si el poder especial para representar a las compañías en el proceso de subasta, apertura de sobres, etc. podrá constar en instrumento privado.</w:t>
      </w:r>
    </w:p>
    <w:p w:rsidR="005C7103" w:rsidRDefault="005C7103" w:rsidP="00A51F44">
      <w:pPr>
        <w:jc w:val="both"/>
        <w:rPr>
          <w:rFonts w:ascii="gobCL" w:eastAsia="Times New Roman" w:hAnsi="gobCL" w:cs="Arial"/>
        </w:rPr>
      </w:pPr>
    </w:p>
    <w:p w:rsidR="005C7103" w:rsidRPr="005C7103" w:rsidRDefault="005C7103" w:rsidP="00A51F44">
      <w:pPr>
        <w:ind w:left="708"/>
        <w:jc w:val="both"/>
        <w:rPr>
          <w:rFonts w:ascii="gobCL" w:eastAsia="Times New Roman" w:hAnsi="gobCL" w:cs="Arial"/>
          <w:b/>
          <w:color w:val="1F497D" w:themeColor="text2"/>
        </w:rPr>
      </w:pPr>
      <w:r w:rsidRPr="005C7103">
        <w:rPr>
          <w:rFonts w:ascii="gobCL" w:eastAsia="Times New Roman" w:hAnsi="gobCL" w:cs="Arial"/>
          <w:b/>
          <w:color w:val="1F497D" w:themeColor="text2"/>
        </w:rPr>
        <w:t>Si, aplicando las reglas generales puede ser por escritura pública o por instrumento privado autorizado ante Notario.</w:t>
      </w:r>
    </w:p>
    <w:p w:rsidR="00020D03" w:rsidRPr="005C7103" w:rsidRDefault="00020D03" w:rsidP="00A51F44">
      <w:pPr>
        <w:pStyle w:val="Prrafodelista"/>
        <w:jc w:val="both"/>
        <w:rPr>
          <w:rFonts w:ascii="gobCL" w:hAnsi="gobCL" w:cs="Arial"/>
        </w:rPr>
      </w:pPr>
    </w:p>
    <w:p w:rsidR="00020D03" w:rsidRDefault="00020D03" w:rsidP="00A51F44">
      <w:pPr>
        <w:pStyle w:val="Prrafodelista"/>
        <w:numPr>
          <w:ilvl w:val="0"/>
          <w:numId w:val="4"/>
        </w:numPr>
        <w:jc w:val="both"/>
        <w:rPr>
          <w:rFonts w:ascii="gobCL" w:eastAsia="Times New Roman" w:hAnsi="gobCL" w:cs="Arial"/>
        </w:rPr>
      </w:pPr>
      <w:r w:rsidRPr="005C7103">
        <w:rPr>
          <w:rFonts w:ascii="gobCL" w:eastAsia="Times New Roman" w:hAnsi="gobCL" w:cs="Arial"/>
        </w:rPr>
        <w:t xml:space="preserve">Le agradeceríamos confirmar si en atención a la situación sanitaria del país </w:t>
      </w:r>
      <w:proofErr w:type="spellStart"/>
      <w:r w:rsidRPr="005C7103">
        <w:rPr>
          <w:rFonts w:ascii="gobCL" w:eastAsia="Times New Roman" w:hAnsi="gobCL" w:cs="Arial"/>
        </w:rPr>
        <w:t>Subpesca</w:t>
      </w:r>
      <w:proofErr w:type="spellEnd"/>
      <w:r w:rsidRPr="005C7103">
        <w:rPr>
          <w:rFonts w:ascii="gobCL" w:eastAsia="Times New Roman" w:hAnsi="gobCL" w:cs="Arial"/>
        </w:rPr>
        <w:t xml:space="preserve"> postergará la fecha de la presentación de los sobres y/o apertura y adjudicación de los recursos.</w:t>
      </w:r>
    </w:p>
    <w:p w:rsidR="005C7103" w:rsidRDefault="005C7103" w:rsidP="00A51F44">
      <w:pPr>
        <w:jc w:val="both"/>
        <w:rPr>
          <w:rFonts w:ascii="gobCL" w:eastAsia="Times New Roman" w:hAnsi="gobCL" w:cs="Arial"/>
        </w:rPr>
      </w:pPr>
    </w:p>
    <w:p w:rsidR="005C7103" w:rsidRPr="005C7103" w:rsidRDefault="007B7A8B" w:rsidP="00A51F44">
      <w:pPr>
        <w:ind w:firstLine="708"/>
        <w:jc w:val="both"/>
        <w:rPr>
          <w:rFonts w:ascii="gobCL" w:eastAsia="Times New Roman" w:hAnsi="gobCL" w:cs="Arial"/>
          <w:b/>
          <w:color w:val="1F497D" w:themeColor="text2"/>
        </w:rPr>
      </w:pPr>
      <w:r>
        <w:rPr>
          <w:rFonts w:ascii="gobCL" w:eastAsia="Times New Roman" w:hAnsi="gobCL" w:cs="Arial"/>
          <w:b/>
          <w:color w:val="1F497D" w:themeColor="text2"/>
        </w:rPr>
        <w:t xml:space="preserve">Se informará a la brevedad de las medidas que se </w:t>
      </w:r>
      <w:bookmarkStart w:id="0" w:name="_GoBack"/>
      <w:bookmarkEnd w:id="0"/>
      <w:r>
        <w:rPr>
          <w:rFonts w:ascii="gobCL" w:eastAsia="Times New Roman" w:hAnsi="gobCL" w:cs="Arial"/>
          <w:b/>
          <w:color w:val="1F497D" w:themeColor="text2"/>
        </w:rPr>
        <w:t>tomarán al respecto.</w:t>
      </w:r>
    </w:p>
    <w:p w:rsidR="00020D03" w:rsidRPr="005C7103" w:rsidRDefault="00020D03" w:rsidP="00C14C3C">
      <w:pPr>
        <w:ind w:left="708"/>
        <w:jc w:val="both"/>
        <w:rPr>
          <w:rFonts w:ascii="gobCL" w:hAnsi="gobCL"/>
        </w:rPr>
      </w:pPr>
      <w:r w:rsidRPr="005C7103">
        <w:rPr>
          <w:rFonts w:ascii="gobCL" w:hAnsi="gobCL"/>
        </w:rPr>
        <w:t>1</w:t>
      </w:r>
      <w:r w:rsidR="00C14C3C">
        <w:rPr>
          <w:rFonts w:ascii="gobCL" w:hAnsi="gobCL"/>
        </w:rPr>
        <w:t>7</w:t>
      </w:r>
      <w:r w:rsidRPr="005C7103">
        <w:rPr>
          <w:rFonts w:ascii="gobCL" w:hAnsi="gobCL"/>
        </w:rPr>
        <w:t xml:space="preserve">. En base a lo resuelto en la resolución exenta número 712 se licitarán 3 unidades de pesquerías distintas. </w:t>
      </w:r>
    </w:p>
    <w:p w:rsidR="00020D03" w:rsidRPr="005C7103" w:rsidRDefault="00020D03" w:rsidP="00C14C3C">
      <w:pPr>
        <w:ind w:left="708"/>
        <w:jc w:val="both"/>
        <w:rPr>
          <w:rFonts w:ascii="gobCL" w:hAnsi="gobCL"/>
        </w:rPr>
      </w:pPr>
      <w:r w:rsidRPr="005C7103">
        <w:rPr>
          <w:rFonts w:ascii="gobCL" w:hAnsi="gobCL"/>
        </w:rPr>
        <w:t xml:space="preserve">Dado lo anterior, para efectos de la declaración jurada de relación societaria, si dos empresas relacionadas participan en unidades de pesquerías distintas, ¿deben declarar su condición de empresas relacionadas o para estos efectos se considera cada unidad de pesquería como licitaciones independientes entre </w:t>
      </w:r>
      <w:r w:rsidR="00A51F44" w:rsidRPr="005C7103">
        <w:rPr>
          <w:rFonts w:ascii="gobCL" w:hAnsi="gobCL"/>
        </w:rPr>
        <w:t>sí</w:t>
      </w:r>
      <w:r w:rsidRPr="005C7103">
        <w:rPr>
          <w:rFonts w:ascii="gobCL" w:hAnsi="gobCL"/>
        </w:rPr>
        <w:t>?</w:t>
      </w:r>
    </w:p>
    <w:p w:rsidR="00020D03" w:rsidRPr="00C14C3C" w:rsidRDefault="00A51F44" w:rsidP="00C14C3C">
      <w:pPr>
        <w:ind w:left="708"/>
        <w:jc w:val="both"/>
        <w:rPr>
          <w:rFonts w:ascii="gobCL" w:hAnsi="gobCL"/>
          <w:b/>
          <w:color w:val="1F497D" w:themeColor="text2"/>
        </w:rPr>
      </w:pPr>
      <w:r w:rsidRPr="00C14C3C">
        <w:rPr>
          <w:rFonts w:ascii="gobCL" w:hAnsi="gobCL"/>
          <w:b/>
          <w:color w:val="1F497D" w:themeColor="text2"/>
        </w:rPr>
        <w:t xml:space="preserve">Se debe presentar la declaración jurada de relación societaria especificando la relación en la unidad de pesquería en que se presente esta hipótesis, toda vez que se busca evitar que una persona </w:t>
      </w:r>
      <w:r w:rsidR="00C14C3C">
        <w:rPr>
          <w:rFonts w:ascii="gobCL" w:hAnsi="gobCL"/>
          <w:b/>
          <w:color w:val="1F497D" w:themeColor="text2"/>
        </w:rPr>
        <w:t xml:space="preserve">natural </w:t>
      </w:r>
      <w:r w:rsidRPr="00C14C3C">
        <w:rPr>
          <w:rFonts w:ascii="gobCL" w:hAnsi="gobCL"/>
          <w:b/>
          <w:color w:val="1F497D" w:themeColor="text2"/>
        </w:rPr>
        <w:t xml:space="preserve">o jurídica alcance el 40% del total de la cuota a subastar (entendiendo este porcentaje </w:t>
      </w:r>
      <w:r w:rsidR="00C14C3C" w:rsidRPr="00C14C3C">
        <w:rPr>
          <w:rFonts w:ascii="gobCL" w:hAnsi="gobCL"/>
          <w:b/>
          <w:color w:val="1F497D" w:themeColor="text2"/>
        </w:rPr>
        <w:t>de la subasta original</w:t>
      </w:r>
      <w:r w:rsidR="00A96B5D">
        <w:rPr>
          <w:rFonts w:ascii="gobCL" w:hAnsi="gobCL"/>
          <w:b/>
          <w:color w:val="1F497D" w:themeColor="text2"/>
        </w:rPr>
        <w:t xml:space="preserve"> que se trate</w:t>
      </w:r>
      <w:r w:rsidR="00C14C3C" w:rsidRPr="00C14C3C">
        <w:rPr>
          <w:rFonts w:ascii="gobCL" w:hAnsi="gobCL"/>
          <w:b/>
          <w:color w:val="1F497D" w:themeColor="text2"/>
        </w:rPr>
        <w:t>).</w:t>
      </w:r>
    </w:p>
    <w:p w:rsidR="00020D03" w:rsidRDefault="00020D03" w:rsidP="00A96B5D">
      <w:pPr>
        <w:ind w:left="708"/>
        <w:jc w:val="both"/>
        <w:rPr>
          <w:rFonts w:ascii="gobCL" w:eastAsia="Times New Roman" w:hAnsi="gobCL"/>
        </w:rPr>
      </w:pPr>
      <w:r w:rsidRPr="005C7103">
        <w:rPr>
          <w:rFonts w:ascii="gobCL" w:eastAsia="Times New Roman" w:hAnsi="gobCL"/>
        </w:rPr>
        <w:lastRenderedPageBreak/>
        <w:t>1</w:t>
      </w:r>
      <w:r w:rsidR="00A96B5D">
        <w:rPr>
          <w:rFonts w:ascii="gobCL" w:eastAsia="Times New Roman" w:hAnsi="gobCL"/>
        </w:rPr>
        <w:t>8</w:t>
      </w:r>
      <w:r w:rsidRPr="005C7103">
        <w:rPr>
          <w:rFonts w:ascii="gobCL" w:eastAsia="Times New Roman" w:hAnsi="gobCL"/>
        </w:rPr>
        <w:t xml:space="preserve">. En las bases de los lotes desiertos se da el número de toneladas “ton año 2020” del recurso anchoveta, Res. Ex. 713 </w:t>
      </w:r>
      <w:proofErr w:type="gramStart"/>
      <w:r w:rsidRPr="005C7103">
        <w:rPr>
          <w:rFonts w:ascii="gobCL" w:eastAsia="Times New Roman" w:hAnsi="gobCL"/>
        </w:rPr>
        <w:t>punto</w:t>
      </w:r>
      <w:proofErr w:type="gramEnd"/>
      <w:r w:rsidRPr="005C7103">
        <w:rPr>
          <w:rFonts w:ascii="gobCL" w:eastAsia="Times New Roman" w:hAnsi="gobCL"/>
        </w:rPr>
        <w:t xml:space="preserve"> 5 a). Sin embargo, en las otras bases sólo se indica el tamaño del lote (ton) sin señalar año. Asimismo, en el formato de las ofertas se dice que la oferta es (</w:t>
      </w:r>
      <w:proofErr w:type="spellStart"/>
      <w:r w:rsidRPr="005C7103">
        <w:rPr>
          <w:rFonts w:ascii="gobCL" w:eastAsia="Times New Roman" w:hAnsi="gobCL"/>
        </w:rPr>
        <w:t>UTM</w:t>
      </w:r>
      <w:proofErr w:type="spellEnd"/>
      <w:r w:rsidRPr="005C7103">
        <w:rPr>
          <w:rFonts w:ascii="gobCL" w:eastAsia="Times New Roman" w:hAnsi="gobCL"/>
        </w:rPr>
        <w:t xml:space="preserve">/AÑO por el lote). </w:t>
      </w:r>
      <w:r w:rsidRPr="005C7103">
        <w:rPr>
          <w:rFonts w:ascii="Courier New" w:eastAsia="Times New Roman" w:hAnsi="Courier New" w:cs="Courier New"/>
        </w:rPr>
        <w:t> </w:t>
      </w:r>
      <w:r w:rsidRPr="005C7103">
        <w:rPr>
          <w:rFonts w:ascii="gobCL" w:eastAsia="Times New Roman" w:hAnsi="gobCL"/>
        </w:rPr>
        <w:t>Favor aclarar si las toneladas se</w:t>
      </w:r>
      <w:r w:rsidRPr="005C7103">
        <w:rPr>
          <w:rFonts w:ascii="gobCL" w:eastAsia="Times New Roman" w:hAnsi="gobCL" w:cs="gobCL"/>
        </w:rPr>
        <w:t>ñ</w:t>
      </w:r>
      <w:r w:rsidRPr="005C7103">
        <w:rPr>
          <w:rFonts w:ascii="gobCL" w:eastAsia="Times New Roman" w:hAnsi="gobCL"/>
        </w:rPr>
        <w:t>aladas respecto a los lotes indicados en el numeral 5 a) de las referidas bases se refiere a las toneladas anuales de cada lote.</w:t>
      </w:r>
    </w:p>
    <w:p w:rsidR="00A96B5D" w:rsidRPr="00A96B5D" w:rsidRDefault="00A96B5D" w:rsidP="00A96B5D">
      <w:pPr>
        <w:ind w:left="708"/>
        <w:jc w:val="both"/>
        <w:rPr>
          <w:rFonts w:ascii="gobCL" w:eastAsia="Times New Roman" w:hAnsi="gobCL"/>
          <w:b/>
          <w:color w:val="1F497D" w:themeColor="text2"/>
        </w:rPr>
      </w:pPr>
      <w:r w:rsidRPr="00A96B5D">
        <w:rPr>
          <w:rFonts w:ascii="gobCL" w:eastAsia="Times New Roman" w:hAnsi="gobCL"/>
          <w:b/>
          <w:color w:val="1F497D" w:themeColor="text2"/>
        </w:rPr>
        <w:t xml:space="preserve">Las toneladas señaladas en las bases consultadas son referenciales. Se oferta por </w:t>
      </w:r>
      <w:proofErr w:type="spellStart"/>
      <w:r w:rsidRPr="00A96B5D">
        <w:rPr>
          <w:rFonts w:ascii="gobCL" w:eastAsia="Times New Roman" w:hAnsi="gobCL"/>
          <w:b/>
          <w:color w:val="1F497D" w:themeColor="text2"/>
        </w:rPr>
        <w:t>UTM</w:t>
      </w:r>
      <w:proofErr w:type="spellEnd"/>
      <w:r w:rsidRPr="00A96B5D">
        <w:rPr>
          <w:rFonts w:ascii="gobCL" w:eastAsia="Times New Roman" w:hAnsi="gobCL"/>
          <w:b/>
          <w:color w:val="1F497D" w:themeColor="text2"/>
        </w:rPr>
        <w:t>/ año por lote con objeto de obtener un valor unitario por tonel</w:t>
      </w:r>
      <w:r w:rsidR="00077913">
        <w:rPr>
          <w:rFonts w:ascii="gobCL" w:eastAsia="Times New Roman" w:hAnsi="gobCL"/>
          <w:b/>
          <w:color w:val="1F497D" w:themeColor="text2"/>
        </w:rPr>
        <w:t>ada pagada, ese valor acompaña</w:t>
      </w:r>
      <w:r w:rsidRPr="00A96B5D">
        <w:rPr>
          <w:rFonts w:ascii="gobCL" w:eastAsia="Times New Roman" w:hAnsi="gobCL"/>
          <w:b/>
          <w:color w:val="1F497D" w:themeColor="text2"/>
        </w:rPr>
        <w:t xml:space="preserve"> a la licencia por lo que le reste de vigencia para efectos del cálculo de la anualidad.</w:t>
      </w:r>
    </w:p>
    <w:p w:rsidR="00A96B5D" w:rsidRPr="00A96B5D" w:rsidRDefault="00A96B5D" w:rsidP="00A96B5D">
      <w:pPr>
        <w:ind w:left="708"/>
        <w:jc w:val="both"/>
        <w:rPr>
          <w:rFonts w:ascii="gobCL" w:eastAsia="Times New Roman" w:hAnsi="gobCL"/>
          <w:b/>
          <w:color w:val="1F497D" w:themeColor="text2"/>
        </w:rPr>
      </w:pPr>
      <w:r w:rsidRPr="00A96B5D">
        <w:rPr>
          <w:rFonts w:ascii="gobCL" w:eastAsia="Times New Roman" w:hAnsi="gobCL"/>
          <w:b/>
          <w:color w:val="1F497D" w:themeColor="text2"/>
        </w:rPr>
        <w:t>Por otro lado</w:t>
      </w:r>
      <w:r>
        <w:rPr>
          <w:rFonts w:ascii="gobCL" w:eastAsia="Times New Roman" w:hAnsi="gobCL"/>
          <w:b/>
          <w:color w:val="1F497D" w:themeColor="text2"/>
        </w:rPr>
        <w:t>,</w:t>
      </w:r>
      <w:r w:rsidRPr="00A96B5D">
        <w:rPr>
          <w:rFonts w:ascii="gobCL" w:eastAsia="Times New Roman" w:hAnsi="gobCL"/>
          <w:b/>
          <w:color w:val="1F497D" w:themeColor="text2"/>
        </w:rPr>
        <w:t xml:space="preserve"> las licencias transables de pesca clase b</w:t>
      </w:r>
      <w:r>
        <w:rPr>
          <w:rFonts w:ascii="gobCL" w:eastAsia="Times New Roman" w:hAnsi="gobCL"/>
          <w:b/>
          <w:color w:val="1F497D" w:themeColor="text2"/>
        </w:rPr>
        <w:t xml:space="preserve"> entregan un determinado coeficiente de participación el que se multiplica por la cuota de la fracción industrial de la unidad de pesquería respectiva, de ese modo se determina las toneladas a capturar cada año por sus titulares.</w:t>
      </w:r>
    </w:p>
    <w:p w:rsidR="00A62A13" w:rsidRPr="005C7103" w:rsidRDefault="007B7A8B" w:rsidP="00A51F44">
      <w:pPr>
        <w:jc w:val="both"/>
        <w:rPr>
          <w:rFonts w:ascii="gobCL" w:hAnsi="gobCL"/>
        </w:rPr>
      </w:pPr>
    </w:p>
    <w:sectPr w:rsidR="00A62A13" w:rsidRPr="005C7103" w:rsidSect="00A51F44">
      <w:pgSz w:w="11521" w:h="18722" w:code="51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92E"/>
    <w:multiLevelType w:val="hybridMultilevel"/>
    <w:tmpl w:val="93D00E2C"/>
    <w:lvl w:ilvl="0" w:tplc="B38A330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1267300"/>
    <w:multiLevelType w:val="multilevel"/>
    <w:tmpl w:val="2B5013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034928"/>
    <w:multiLevelType w:val="multilevel"/>
    <w:tmpl w:val="AED0D9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D9147CC"/>
    <w:multiLevelType w:val="multilevel"/>
    <w:tmpl w:val="63040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03"/>
    <w:rsid w:val="00020D03"/>
    <w:rsid w:val="00077913"/>
    <w:rsid w:val="0053584B"/>
    <w:rsid w:val="00544A51"/>
    <w:rsid w:val="005C7103"/>
    <w:rsid w:val="007B7A8B"/>
    <w:rsid w:val="0086567F"/>
    <w:rsid w:val="00A51F44"/>
    <w:rsid w:val="00A96B5D"/>
    <w:rsid w:val="00B572F0"/>
    <w:rsid w:val="00C14C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D03"/>
    <w:pPr>
      <w:spacing w:after="0" w:line="240" w:lineRule="auto"/>
      <w:ind w:left="720"/>
    </w:pPr>
    <w:rPr>
      <w:rFonts w:ascii="Calibri" w:hAnsi="Calibri" w:cs="Times New Roman"/>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D03"/>
    <w:pPr>
      <w:spacing w:after="0" w:line="240" w:lineRule="auto"/>
      <w:ind w:left="720"/>
    </w:pPr>
    <w:rPr>
      <w:rFonts w:ascii="Calibri"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965">
      <w:bodyDiv w:val="1"/>
      <w:marLeft w:val="0"/>
      <w:marRight w:val="0"/>
      <w:marTop w:val="0"/>
      <w:marBottom w:val="0"/>
      <w:divBdr>
        <w:top w:val="none" w:sz="0" w:space="0" w:color="auto"/>
        <w:left w:val="none" w:sz="0" w:space="0" w:color="auto"/>
        <w:bottom w:val="none" w:sz="0" w:space="0" w:color="auto"/>
        <w:right w:val="none" w:sz="0" w:space="0" w:color="auto"/>
      </w:divBdr>
    </w:div>
    <w:div w:id="616956612">
      <w:bodyDiv w:val="1"/>
      <w:marLeft w:val="0"/>
      <w:marRight w:val="0"/>
      <w:marTop w:val="0"/>
      <w:marBottom w:val="0"/>
      <w:divBdr>
        <w:top w:val="none" w:sz="0" w:space="0" w:color="auto"/>
        <w:left w:val="none" w:sz="0" w:space="0" w:color="auto"/>
        <w:bottom w:val="none" w:sz="0" w:space="0" w:color="auto"/>
        <w:right w:val="none" w:sz="0" w:space="0" w:color="auto"/>
      </w:divBdr>
    </w:div>
    <w:div w:id="824784766">
      <w:bodyDiv w:val="1"/>
      <w:marLeft w:val="0"/>
      <w:marRight w:val="0"/>
      <w:marTop w:val="0"/>
      <w:marBottom w:val="0"/>
      <w:divBdr>
        <w:top w:val="none" w:sz="0" w:space="0" w:color="auto"/>
        <w:left w:val="none" w:sz="0" w:space="0" w:color="auto"/>
        <w:bottom w:val="none" w:sz="0" w:space="0" w:color="auto"/>
        <w:right w:val="none" w:sz="0" w:space="0" w:color="auto"/>
      </w:divBdr>
    </w:div>
    <w:div w:id="955521266">
      <w:bodyDiv w:val="1"/>
      <w:marLeft w:val="0"/>
      <w:marRight w:val="0"/>
      <w:marTop w:val="0"/>
      <w:marBottom w:val="0"/>
      <w:divBdr>
        <w:top w:val="none" w:sz="0" w:space="0" w:color="auto"/>
        <w:left w:val="none" w:sz="0" w:space="0" w:color="auto"/>
        <w:bottom w:val="none" w:sz="0" w:space="0" w:color="auto"/>
        <w:right w:val="none" w:sz="0" w:space="0" w:color="auto"/>
      </w:divBdr>
    </w:div>
    <w:div w:id="20620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astapublica@subpesca.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5</cp:revision>
  <dcterms:created xsi:type="dcterms:W3CDTF">2020-03-18T11:56:00Z</dcterms:created>
  <dcterms:modified xsi:type="dcterms:W3CDTF">2020-03-18T18:00:00Z</dcterms:modified>
</cp:coreProperties>
</file>