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D5" w:rsidRPr="00645A9F" w:rsidRDefault="006B5BD5" w:rsidP="00645A9F">
      <w:pPr>
        <w:pStyle w:val="Prrafodelista"/>
        <w:jc w:val="both"/>
        <w:rPr>
          <w:rFonts w:ascii="gobCL" w:hAnsi="gobCL"/>
          <w:b/>
          <w:u w:val="single"/>
        </w:rPr>
      </w:pPr>
      <w:r w:rsidRPr="00645A9F">
        <w:rPr>
          <w:rFonts w:ascii="gobCL" w:hAnsi="gobCL"/>
          <w:b/>
          <w:u w:val="single"/>
        </w:rPr>
        <w:t>ACLARACIONES A BASES ADMINISTRATIVAS SUBASTA LICENCIA TRANSABLE DE PESCA TIPO B</w:t>
      </w:r>
    </w:p>
    <w:p w:rsidR="006B5BD5" w:rsidRPr="00645A9F" w:rsidRDefault="006B5BD5" w:rsidP="00645A9F">
      <w:pPr>
        <w:pStyle w:val="Prrafodelista"/>
        <w:jc w:val="both"/>
        <w:rPr>
          <w:rFonts w:ascii="gobCL" w:hAnsi="gobCL"/>
          <w:b/>
        </w:rPr>
      </w:pPr>
    </w:p>
    <w:p w:rsidR="006B5BD5" w:rsidRPr="00645A9F" w:rsidRDefault="006B5BD5" w:rsidP="00645A9F">
      <w:pPr>
        <w:ind w:left="708"/>
        <w:jc w:val="both"/>
        <w:rPr>
          <w:rFonts w:ascii="gobCL" w:hAnsi="gobCL"/>
        </w:rPr>
      </w:pPr>
      <w:r w:rsidRPr="00645A9F">
        <w:rPr>
          <w:rFonts w:ascii="gobCL" w:hAnsi="gobCL"/>
          <w:b/>
        </w:rPr>
        <w:t xml:space="preserve">Aclaraciones a las bases dirigidas al correo electrónico </w:t>
      </w:r>
      <w:hyperlink r:id="rId7" w:history="1">
        <w:r w:rsidRPr="00645A9F">
          <w:rPr>
            <w:rFonts w:ascii="gobCL" w:hAnsi="gobCL"/>
            <w:b/>
          </w:rPr>
          <w:t>subastapublica@subpesca.cl</w:t>
        </w:r>
      </w:hyperlink>
      <w:r w:rsidRPr="00645A9F">
        <w:rPr>
          <w:rFonts w:ascii="gobCL" w:hAnsi="gobCL"/>
          <w:b/>
        </w:rPr>
        <w:t xml:space="preserve"> a la fecha de 17 marzo de 2020, según el orden de llegada y dentro del plazo de 72 horas.</w:t>
      </w:r>
    </w:p>
    <w:p w:rsidR="006B5BD5" w:rsidRPr="00645A9F" w:rsidRDefault="00762B83" w:rsidP="00645A9F">
      <w:pPr>
        <w:ind w:left="708"/>
        <w:jc w:val="both"/>
        <w:rPr>
          <w:rFonts w:ascii="gobCL" w:hAnsi="gobCL"/>
        </w:rPr>
      </w:pPr>
      <w:r w:rsidRPr="00645A9F">
        <w:rPr>
          <w:rFonts w:ascii="gobCL" w:hAnsi="gobCL"/>
        </w:rPr>
        <w:t xml:space="preserve">11. </w:t>
      </w:r>
      <w:r w:rsidR="00645A9F">
        <w:rPr>
          <w:rFonts w:ascii="gobCL" w:hAnsi="gobCL"/>
        </w:rPr>
        <w:t>¿A</w:t>
      </w:r>
      <w:r w:rsidR="00645A9F" w:rsidRPr="00645A9F">
        <w:rPr>
          <w:rFonts w:ascii="gobCL" w:hAnsi="gobCL"/>
        </w:rPr>
        <w:t>l tratarse de una subasta que comprende varios recursos y diversas unidades de pesquerías, se debe presentar como garantía un vale vista para cada unidad de pesquería en específico?, o, ¿puede presentarse una sola garantía (vale vista) siempre que dicho monto alcance a cubrir tantas garantías como recursos y unidades de pesquería se quiera subastar</w:t>
      </w:r>
      <w:r w:rsidRPr="00645A9F">
        <w:rPr>
          <w:rFonts w:ascii="gobCL" w:hAnsi="gobCL"/>
        </w:rPr>
        <w:t>?.</w:t>
      </w:r>
      <w:r w:rsidRPr="00645A9F">
        <w:rPr>
          <w:rFonts w:ascii="Courier New" w:hAnsi="Courier New" w:cs="Courier New"/>
        </w:rPr>
        <w:t> </w:t>
      </w:r>
    </w:p>
    <w:p w:rsidR="00645A9F" w:rsidRPr="00645A9F" w:rsidRDefault="00417A6B" w:rsidP="00645A9F">
      <w:pPr>
        <w:ind w:left="708"/>
        <w:jc w:val="both"/>
        <w:rPr>
          <w:rFonts w:ascii="gobCL" w:hAnsi="gobCL"/>
          <w:b/>
          <w:color w:val="1F497D" w:themeColor="text2"/>
        </w:rPr>
      </w:pPr>
      <w:r>
        <w:rPr>
          <w:rFonts w:ascii="gobCL" w:hAnsi="gobCL"/>
          <w:b/>
          <w:color w:val="1F497D" w:themeColor="text2"/>
        </w:rPr>
        <w:t>No habría inconveniente. Sin perjuicio de lo anterior, se debe tener presente que c</w:t>
      </w:r>
      <w:r w:rsidR="00645A9F" w:rsidRPr="00645A9F">
        <w:rPr>
          <w:rFonts w:ascii="gobCL" w:hAnsi="gobCL"/>
          <w:b/>
          <w:color w:val="1F497D" w:themeColor="text2"/>
        </w:rPr>
        <w:t xml:space="preserve">ada </w:t>
      </w:r>
      <w:r w:rsidR="002B7D2F">
        <w:rPr>
          <w:rFonts w:ascii="gobCL" w:hAnsi="gobCL"/>
          <w:b/>
          <w:color w:val="1F497D" w:themeColor="text2"/>
        </w:rPr>
        <w:t>unidad de pesquería</w:t>
      </w:r>
      <w:r w:rsidR="002B7D2F" w:rsidRPr="00645A9F">
        <w:rPr>
          <w:rFonts w:ascii="gobCL" w:hAnsi="gobCL"/>
          <w:b/>
          <w:color w:val="1F497D" w:themeColor="text2"/>
        </w:rPr>
        <w:t xml:space="preserve"> </w:t>
      </w:r>
      <w:r w:rsidR="00645A9F" w:rsidRPr="00645A9F">
        <w:rPr>
          <w:rFonts w:ascii="gobCL" w:hAnsi="gobCL"/>
          <w:b/>
          <w:color w:val="1F497D" w:themeColor="text2"/>
        </w:rPr>
        <w:t xml:space="preserve">posee </w:t>
      </w:r>
      <w:r>
        <w:rPr>
          <w:rFonts w:ascii="gobCL" w:hAnsi="gobCL"/>
          <w:b/>
          <w:color w:val="1F497D" w:themeColor="text2"/>
        </w:rPr>
        <w:t>un monto</w:t>
      </w:r>
      <w:r w:rsidR="00645A9F" w:rsidRPr="00645A9F">
        <w:rPr>
          <w:rFonts w:ascii="gobCL" w:hAnsi="gobCL"/>
          <w:b/>
          <w:color w:val="1F497D" w:themeColor="text2"/>
        </w:rPr>
        <w:t xml:space="preserve"> diferente</w:t>
      </w:r>
      <w:r w:rsidR="001E764D">
        <w:rPr>
          <w:rFonts w:ascii="gobCL" w:hAnsi="gobCL"/>
          <w:b/>
          <w:color w:val="1F497D" w:themeColor="text2"/>
        </w:rPr>
        <w:t xml:space="preserve"> de garantía</w:t>
      </w:r>
      <w:r w:rsidR="00645A9F" w:rsidRPr="00645A9F">
        <w:rPr>
          <w:rFonts w:ascii="gobCL" w:hAnsi="gobCL"/>
          <w:b/>
          <w:color w:val="1F497D" w:themeColor="text2"/>
        </w:rPr>
        <w:t>, según lo señalado en las bases respe</w:t>
      </w:r>
      <w:r w:rsidR="00645A9F">
        <w:rPr>
          <w:rFonts w:ascii="gobCL" w:hAnsi="gobCL"/>
          <w:b/>
          <w:color w:val="1F497D" w:themeColor="text2"/>
        </w:rPr>
        <w:t>c</w:t>
      </w:r>
      <w:r w:rsidR="00645A9F" w:rsidRPr="00645A9F">
        <w:rPr>
          <w:rFonts w:ascii="gobCL" w:hAnsi="gobCL"/>
          <w:b/>
          <w:color w:val="1F497D" w:themeColor="text2"/>
        </w:rPr>
        <w:t>tivas</w:t>
      </w:r>
      <w:r>
        <w:rPr>
          <w:rFonts w:ascii="gobCL" w:hAnsi="gobCL"/>
          <w:b/>
          <w:color w:val="1F497D" w:themeColor="text2"/>
        </w:rPr>
        <w:t>. Por lo que se recomienda que sean garantías individuales,</w:t>
      </w:r>
      <w:r w:rsidR="00645A9F" w:rsidRPr="00645A9F">
        <w:rPr>
          <w:rFonts w:ascii="gobCL" w:hAnsi="gobCL"/>
          <w:b/>
          <w:color w:val="1F497D" w:themeColor="text2"/>
        </w:rPr>
        <w:t xml:space="preserve"> </w:t>
      </w:r>
      <w:r w:rsidR="00645A9F">
        <w:rPr>
          <w:rFonts w:ascii="gobCL" w:hAnsi="gobCL"/>
          <w:b/>
          <w:color w:val="1F497D" w:themeColor="text2"/>
        </w:rPr>
        <w:t>de otro modo result</w:t>
      </w:r>
      <w:bookmarkStart w:id="0" w:name="_GoBack"/>
      <w:bookmarkEnd w:id="0"/>
      <w:r w:rsidR="00645A9F">
        <w:rPr>
          <w:rFonts w:ascii="gobCL" w:hAnsi="gobCL"/>
          <w:b/>
          <w:color w:val="1F497D" w:themeColor="text2"/>
        </w:rPr>
        <w:t>aría dificultoso tanto su identificación como su devolución.</w:t>
      </w:r>
    </w:p>
    <w:p w:rsidR="00762B83" w:rsidRDefault="00762B83" w:rsidP="00645A9F">
      <w:pPr>
        <w:ind w:left="708"/>
        <w:jc w:val="both"/>
        <w:rPr>
          <w:rFonts w:ascii="gobCL" w:hAnsi="gobCL"/>
        </w:rPr>
      </w:pPr>
      <w:r w:rsidRPr="00645A9F">
        <w:rPr>
          <w:rFonts w:ascii="gobCL" w:hAnsi="gobCL"/>
        </w:rPr>
        <w:t xml:space="preserve">12. </w:t>
      </w:r>
      <w:proofErr w:type="gramStart"/>
      <w:r w:rsidR="00645A9F">
        <w:rPr>
          <w:rFonts w:ascii="gobCL" w:hAnsi="gobCL"/>
        </w:rPr>
        <w:t>¿</w:t>
      </w:r>
      <w:proofErr w:type="gramEnd"/>
      <w:r w:rsidR="00645A9F">
        <w:rPr>
          <w:rFonts w:ascii="gobCL" w:hAnsi="gobCL"/>
        </w:rPr>
        <w:t>S</w:t>
      </w:r>
      <w:r w:rsidRPr="00645A9F">
        <w:rPr>
          <w:rFonts w:ascii="gobCL" w:hAnsi="gobCL"/>
        </w:rPr>
        <w:t>e tiene considerado un cambio de fecha tanto para la entrega de sobres 1 y apertura de sobres 2; para los procesos de licitación de LTP - B y PEP debido a contingencia nacional</w:t>
      </w:r>
      <w:r w:rsidRPr="00645A9F">
        <w:rPr>
          <w:rFonts w:ascii="Courier New" w:hAnsi="Courier New" w:cs="Courier New"/>
        </w:rPr>
        <w:t> </w:t>
      </w:r>
      <w:r w:rsidRPr="00645A9F">
        <w:rPr>
          <w:rFonts w:ascii="gobCL" w:hAnsi="gobCL"/>
        </w:rPr>
        <w:t xml:space="preserve"> por tema de CORONAVIRUS</w:t>
      </w:r>
      <w:r w:rsidR="00645A9F">
        <w:rPr>
          <w:rFonts w:ascii="gobCL" w:hAnsi="gobCL"/>
        </w:rPr>
        <w:t>.</w:t>
      </w:r>
    </w:p>
    <w:p w:rsidR="00645A9F" w:rsidRPr="00645A9F" w:rsidRDefault="00645A9F" w:rsidP="00645A9F">
      <w:pPr>
        <w:ind w:left="708"/>
        <w:jc w:val="both"/>
        <w:rPr>
          <w:rFonts w:ascii="gobCL" w:hAnsi="gobCL"/>
          <w:b/>
          <w:color w:val="1F497D" w:themeColor="text2"/>
        </w:rPr>
      </w:pPr>
      <w:r w:rsidRPr="00645A9F">
        <w:rPr>
          <w:rFonts w:ascii="gobCL" w:hAnsi="gobCL"/>
          <w:b/>
          <w:color w:val="1F497D" w:themeColor="text2"/>
        </w:rPr>
        <w:t>No existe hasta el momento ningún cambio.</w:t>
      </w:r>
    </w:p>
    <w:p w:rsidR="00645A9F" w:rsidRDefault="002741EB" w:rsidP="00645A9F">
      <w:pPr>
        <w:ind w:left="708"/>
        <w:jc w:val="both"/>
        <w:rPr>
          <w:rFonts w:ascii="gobCL" w:hAnsi="gobCL"/>
        </w:rPr>
      </w:pPr>
      <w:r w:rsidRPr="00645A9F">
        <w:rPr>
          <w:rFonts w:ascii="gobCL" w:hAnsi="gobCL"/>
        </w:rPr>
        <w:t xml:space="preserve">13. </w:t>
      </w:r>
      <w:r w:rsidR="00762B83" w:rsidRPr="00645A9F">
        <w:rPr>
          <w:rFonts w:ascii="gobCL" w:hAnsi="gobCL"/>
        </w:rPr>
        <w:t xml:space="preserve">Con relación a la Licitación de Anchoveta, en su Unidad de Pesquería de las Regiones de Atacama a Coquimbo, los dos lotes a subastar </w:t>
      </w:r>
      <w:proofErr w:type="spellStart"/>
      <w:r w:rsidR="00762B83" w:rsidRPr="00645A9F">
        <w:rPr>
          <w:rFonts w:ascii="gobCL" w:hAnsi="gobCL"/>
        </w:rPr>
        <w:t>N°s</w:t>
      </w:r>
      <w:proofErr w:type="spellEnd"/>
      <w:r w:rsidR="00762B83" w:rsidRPr="00645A9F">
        <w:rPr>
          <w:rFonts w:ascii="gobCL" w:hAnsi="gobCL"/>
        </w:rPr>
        <w:t xml:space="preserve"> 21 y 22, el punto</w:t>
      </w:r>
      <w:r w:rsidR="00762B83" w:rsidRPr="00645A9F">
        <w:rPr>
          <w:rFonts w:ascii="Courier New" w:hAnsi="Courier New" w:cs="Courier New"/>
        </w:rPr>
        <w:t> </w:t>
      </w:r>
      <w:r w:rsidR="00762B83" w:rsidRPr="00645A9F">
        <w:rPr>
          <w:rFonts w:ascii="gobCL" w:hAnsi="gobCL"/>
        </w:rPr>
        <w:t>12 de las bases señala que "</w:t>
      </w:r>
      <w:r w:rsidR="00762B83" w:rsidRPr="00645A9F">
        <w:rPr>
          <w:rFonts w:ascii="gobCL" w:hAnsi="gobCL"/>
          <w:u w:val="single"/>
        </w:rPr>
        <w:t>ningún oferente podrá adjudicarse más del 40% de la cuota sujeta a subastar</w:t>
      </w:r>
      <w:r w:rsidR="00762B83" w:rsidRPr="00645A9F">
        <w:rPr>
          <w:rFonts w:ascii="gobCL" w:hAnsi="gobCL"/>
        </w:rPr>
        <w:t>", el porcentaje máximo se refiere al 40% de la subasta en la cual se subastaron esos dos lotes en Diciembre de 2017 (Res. Ex. N° 3943-2017), o se refiere al 40% de la suma de las dos subastas realizadas, la primera en Diciembre 2016</w:t>
      </w:r>
      <w:r w:rsidR="00645A9F">
        <w:rPr>
          <w:rFonts w:ascii="Courier New" w:hAnsi="Courier New" w:cs="Courier New"/>
        </w:rPr>
        <w:t xml:space="preserve"> </w:t>
      </w:r>
      <w:r w:rsidR="00762B83" w:rsidRPr="00645A9F">
        <w:rPr>
          <w:rFonts w:ascii="gobCL" w:hAnsi="gobCL"/>
        </w:rPr>
        <w:t>(Res. Ex. N</w:t>
      </w:r>
      <w:r w:rsidR="00762B83" w:rsidRPr="00645A9F">
        <w:rPr>
          <w:rFonts w:ascii="gobCL" w:hAnsi="gobCL" w:cs="gobCL"/>
        </w:rPr>
        <w:t>°</w:t>
      </w:r>
      <w:r w:rsidR="00762B83" w:rsidRPr="00645A9F">
        <w:rPr>
          <w:rFonts w:ascii="gobCL" w:hAnsi="gobCL"/>
        </w:rPr>
        <w:t xml:space="preserve"> 3500-2016) m</w:t>
      </w:r>
      <w:r w:rsidR="00762B83" w:rsidRPr="00645A9F">
        <w:rPr>
          <w:rFonts w:ascii="gobCL" w:hAnsi="gobCL" w:cs="gobCL"/>
        </w:rPr>
        <w:t>á</w:t>
      </w:r>
      <w:r w:rsidR="00762B83" w:rsidRPr="00645A9F">
        <w:rPr>
          <w:rFonts w:ascii="gobCL" w:hAnsi="gobCL"/>
        </w:rPr>
        <w:t>s</w:t>
      </w:r>
      <w:r w:rsidR="00762B83" w:rsidRPr="00645A9F">
        <w:rPr>
          <w:rFonts w:ascii="Courier New" w:hAnsi="Courier New" w:cs="Courier New"/>
        </w:rPr>
        <w:t> </w:t>
      </w:r>
      <w:r w:rsidR="00762B83" w:rsidRPr="00645A9F">
        <w:rPr>
          <w:rFonts w:ascii="gobCL" w:hAnsi="gobCL"/>
        </w:rPr>
        <w:t>la segunda ya se</w:t>
      </w:r>
      <w:r w:rsidR="00762B83" w:rsidRPr="00645A9F">
        <w:rPr>
          <w:rFonts w:ascii="gobCL" w:hAnsi="gobCL" w:cs="gobCL"/>
        </w:rPr>
        <w:t>ñ</w:t>
      </w:r>
      <w:r w:rsidR="00645A9F">
        <w:rPr>
          <w:rFonts w:ascii="gobCL" w:hAnsi="gobCL"/>
        </w:rPr>
        <w:t>alada</w:t>
      </w:r>
      <w:proofErr w:type="gramStart"/>
      <w:r w:rsidR="00645A9F">
        <w:rPr>
          <w:rFonts w:ascii="gobCL" w:hAnsi="gobCL"/>
        </w:rPr>
        <w:t>?</w:t>
      </w:r>
      <w:proofErr w:type="gramEnd"/>
    </w:p>
    <w:p w:rsidR="00762B83" w:rsidRPr="00645A9F" w:rsidRDefault="00645A9F" w:rsidP="00645A9F">
      <w:pPr>
        <w:ind w:left="708"/>
        <w:jc w:val="both"/>
        <w:rPr>
          <w:rFonts w:ascii="gobCL" w:hAnsi="gobCL"/>
          <w:b/>
          <w:color w:val="1F497D" w:themeColor="text2"/>
        </w:rPr>
      </w:pPr>
      <w:r w:rsidRPr="00645A9F">
        <w:rPr>
          <w:rFonts w:ascii="gobCL" w:hAnsi="gobCL"/>
          <w:b/>
          <w:color w:val="1F497D" w:themeColor="text2"/>
        </w:rPr>
        <w:t xml:space="preserve">El 40% de la cuota total a subastar se refiere a la subasta </w:t>
      </w:r>
      <w:r w:rsidR="002F0933">
        <w:rPr>
          <w:rFonts w:ascii="gobCL" w:hAnsi="gobCL"/>
          <w:b/>
          <w:color w:val="1F497D" w:themeColor="text2"/>
        </w:rPr>
        <w:t>origina</w:t>
      </w:r>
      <w:r w:rsidR="002B7D2F">
        <w:rPr>
          <w:rFonts w:ascii="gobCL" w:hAnsi="gobCL"/>
          <w:b/>
          <w:color w:val="1F497D" w:themeColor="text2"/>
        </w:rPr>
        <w:t>l</w:t>
      </w:r>
      <w:r w:rsidRPr="00645A9F">
        <w:rPr>
          <w:rFonts w:ascii="gobCL" w:hAnsi="gobCL"/>
          <w:b/>
          <w:color w:val="1F497D" w:themeColor="text2"/>
        </w:rPr>
        <w:t>, ese es el porcentaje que se respetará</w:t>
      </w:r>
      <w:r w:rsidRPr="00645A9F">
        <w:rPr>
          <w:rFonts w:ascii="gobCL" w:hAnsi="gobCL" w:cs="Courier New"/>
          <w:b/>
          <w:color w:val="1F497D" w:themeColor="text2"/>
        </w:rPr>
        <w:t>, el del año 2017 y no la sumatoria, toda vez que fueron procesos distintos.</w:t>
      </w:r>
    </w:p>
    <w:p w:rsidR="00762B83" w:rsidRDefault="002741EB" w:rsidP="00645A9F">
      <w:pPr>
        <w:ind w:left="708"/>
        <w:jc w:val="both"/>
        <w:rPr>
          <w:rFonts w:ascii="gobCL" w:hAnsi="gobCL"/>
        </w:rPr>
      </w:pPr>
      <w:r w:rsidRPr="00645A9F">
        <w:rPr>
          <w:rFonts w:ascii="gobCL" w:hAnsi="gobCL"/>
        </w:rPr>
        <w:t xml:space="preserve">14. </w:t>
      </w:r>
      <w:r w:rsidR="00762B83" w:rsidRPr="00645A9F">
        <w:rPr>
          <w:rFonts w:ascii="gobCL" w:hAnsi="gobCL"/>
        </w:rPr>
        <w:t xml:space="preserve">Al enviar la documentación mediante </w:t>
      </w:r>
      <w:proofErr w:type="spellStart"/>
      <w:r w:rsidR="00762B83" w:rsidRPr="00645A9F">
        <w:rPr>
          <w:rFonts w:ascii="gobCL" w:hAnsi="gobCL"/>
        </w:rPr>
        <w:t>Chileexpress</w:t>
      </w:r>
      <w:proofErr w:type="spellEnd"/>
      <w:r w:rsidR="00762B83" w:rsidRPr="00645A9F">
        <w:rPr>
          <w:rFonts w:ascii="gobCL" w:hAnsi="gobCL"/>
        </w:rPr>
        <w:t xml:space="preserve">, ¿Qué fecha se considera para </w:t>
      </w:r>
      <w:r w:rsidR="00762B83" w:rsidRPr="00645A9F">
        <w:rPr>
          <w:rFonts w:ascii="Courier New" w:hAnsi="Courier New" w:cs="Courier New"/>
        </w:rPr>
        <w:t> </w:t>
      </w:r>
      <w:r w:rsidR="00762B83" w:rsidRPr="00645A9F">
        <w:rPr>
          <w:rFonts w:ascii="gobCL" w:hAnsi="gobCL"/>
        </w:rPr>
        <w:t>cumplir con las bases de la subasta (fecha de env</w:t>
      </w:r>
      <w:r w:rsidR="00762B83" w:rsidRPr="00645A9F">
        <w:rPr>
          <w:rFonts w:ascii="gobCL" w:hAnsi="gobCL" w:cs="gobCL"/>
        </w:rPr>
        <w:t>í</w:t>
      </w:r>
      <w:r w:rsidR="00762B83" w:rsidRPr="00645A9F">
        <w:rPr>
          <w:rFonts w:ascii="gobCL" w:hAnsi="gobCL"/>
        </w:rPr>
        <w:t xml:space="preserve">o o fecha de entrega en </w:t>
      </w:r>
      <w:proofErr w:type="spellStart"/>
      <w:r w:rsidR="00762B83" w:rsidRPr="00645A9F">
        <w:rPr>
          <w:rFonts w:ascii="gobCL" w:hAnsi="gobCL"/>
        </w:rPr>
        <w:t>subpesca</w:t>
      </w:r>
      <w:proofErr w:type="spellEnd"/>
      <w:r w:rsidR="00762B83" w:rsidRPr="00645A9F">
        <w:rPr>
          <w:rFonts w:ascii="gobCL" w:hAnsi="gobCL"/>
        </w:rPr>
        <w:t>)?</w:t>
      </w:r>
    </w:p>
    <w:p w:rsidR="00645A9F" w:rsidRPr="00645A9F" w:rsidRDefault="00645A9F" w:rsidP="00645A9F">
      <w:pPr>
        <w:ind w:left="708"/>
        <w:jc w:val="both"/>
        <w:rPr>
          <w:rFonts w:ascii="gobCL" w:hAnsi="gobCL"/>
          <w:b/>
          <w:color w:val="1F497D" w:themeColor="text2"/>
        </w:rPr>
      </w:pPr>
      <w:r w:rsidRPr="00645A9F">
        <w:rPr>
          <w:rFonts w:ascii="gobCL" w:hAnsi="gobCL"/>
          <w:b/>
          <w:color w:val="1F497D" w:themeColor="text2"/>
        </w:rPr>
        <w:t>La fecha de recepción por Oficina de partes de esta Subsecretaría, de acuerdo a lo señalado en bases.</w:t>
      </w:r>
    </w:p>
    <w:p w:rsidR="00762B83" w:rsidRDefault="00645A9F" w:rsidP="00645A9F">
      <w:pPr>
        <w:ind w:left="708"/>
        <w:jc w:val="both"/>
        <w:rPr>
          <w:rFonts w:ascii="gobCL" w:hAnsi="gobCL"/>
        </w:rPr>
      </w:pPr>
      <w:r>
        <w:rPr>
          <w:rFonts w:ascii="gobCL" w:hAnsi="gobCL"/>
        </w:rPr>
        <w:t xml:space="preserve">15. </w:t>
      </w:r>
      <w:r w:rsidR="00762B83" w:rsidRPr="00645A9F">
        <w:rPr>
          <w:rFonts w:ascii="gobCL" w:hAnsi="gobCL"/>
        </w:rPr>
        <w:t>¿Se tendrá alguna consideración especial dada la contingencia actual? ¿Se contempla alguna medida especial en caso que se limiten los desplazamientos?</w:t>
      </w:r>
    </w:p>
    <w:p w:rsidR="00762B83" w:rsidRPr="00645A9F" w:rsidRDefault="00645A9F" w:rsidP="00417A6B">
      <w:pPr>
        <w:ind w:left="708"/>
        <w:jc w:val="both"/>
        <w:rPr>
          <w:rFonts w:ascii="gobCL" w:hAnsi="gobCL"/>
          <w:b/>
          <w:color w:val="1F497D" w:themeColor="text2"/>
        </w:rPr>
      </w:pPr>
      <w:r w:rsidRPr="00645A9F">
        <w:rPr>
          <w:rFonts w:ascii="gobCL" w:hAnsi="gobCL"/>
          <w:b/>
          <w:color w:val="1F497D" w:themeColor="text2"/>
        </w:rPr>
        <w:t>A la fecha no se ha dictaminado ninguna norma especial.</w:t>
      </w:r>
    </w:p>
    <w:sectPr w:rsidR="00762B83" w:rsidRPr="00645A9F" w:rsidSect="00567484">
      <w:footerReference w:type="default" r:id="rId8"/>
      <w:pgSz w:w="12240" w:h="18720" w:code="14"/>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E3" w:rsidRDefault="004D4AE3">
      <w:pPr>
        <w:spacing w:after="0" w:line="240" w:lineRule="auto"/>
      </w:pPr>
      <w:r>
        <w:separator/>
      </w:r>
    </w:p>
  </w:endnote>
  <w:endnote w:type="continuationSeparator" w:id="0">
    <w:p w:rsidR="004D4AE3" w:rsidRDefault="004D4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08185"/>
      <w:docPartObj>
        <w:docPartGallery w:val="Page Numbers (Bottom of Page)"/>
        <w:docPartUnique/>
      </w:docPartObj>
    </w:sdtPr>
    <w:sdtEndPr/>
    <w:sdtContent>
      <w:p w:rsidR="00567484" w:rsidRDefault="002F0933">
        <w:pPr>
          <w:pStyle w:val="Piedepgina"/>
          <w:jc w:val="right"/>
        </w:pPr>
        <w:r>
          <w:fldChar w:fldCharType="begin"/>
        </w:r>
        <w:r>
          <w:instrText>PAGE   \* MERGEFORMAT</w:instrText>
        </w:r>
        <w:r>
          <w:fldChar w:fldCharType="separate"/>
        </w:r>
        <w:r w:rsidR="001E764D" w:rsidRPr="001E764D">
          <w:rPr>
            <w:noProof/>
            <w:lang w:val="es-ES"/>
          </w:rPr>
          <w:t>1</w:t>
        </w:r>
        <w:r>
          <w:fldChar w:fldCharType="end"/>
        </w:r>
      </w:p>
    </w:sdtContent>
  </w:sdt>
  <w:p w:rsidR="00567484" w:rsidRDefault="001E76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E3" w:rsidRDefault="004D4AE3">
      <w:pPr>
        <w:spacing w:after="0" w:line="240" w:lineRule="auto"/>
      </w:pPr>
      <w:r>
        <w:separator/>
      </w:r>
    </w:p>
  </w:footnote>
  <w:footnote w:type="continuationSeparator" w:id="0">
    <w:p w:rsidR="004D4AE3" w:rsidRDefault="004D4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D5"/>
    <w:rsid w:val="001E764D"/>
    <w:rsid w:val="002741EB"/>
    <w:rsid w:val="002B7D2F"/>
    <w:rsid w:val="002F0933"/>
    <w:rsid w:val="00417A6B"/>
    <w:rsid w:val="004D4AE3"/>
    <w:rsid w:val="0053584B"/>
    <w:rsid w:val="00645A9F"/>
    <w:rsid w:val="006B5BD5"/>
    <w:rsid w:val="00762B83"/>
    <w:rsid w:val="0086567F"/>
    <w:rsid w:val="008E1F0C"/>
    <w:rsid w:val="00C334AC"/>
    <w:rsid w:val="00EC36EC"/>
    <w:rsid w:val="00EC54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BD5"/>
    <w:pPr>
      <w:spacing w:after="0" w:line="240" w:lineRule="auto"/>
      <w:ind w:left="720"/>
    </w:pPr>
    <w:rPr>
      <w:rFonts w:ascii="Calibri" w:hAnsi="Calibri" w:cs="Times New Roman"/>
      <w:lang w:eastAsia="es-CL"/>
    </w:rPr>
  </w:style>
  <w:style w:type="paragraph" w:styleId="Piedepgina">
    <w:name w:val="footer"/>
    <w:basedOn w:val="Normal"/>
    <w:link w:val="PiedepginaCar"/>
    <w:uiPriority w:val="99"/>
    <w:unhideWhenUsed/>
    <w:rsid w:val="006B5B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5BD5"/>
    <w:pPr>
      <w:spacing w:after="0" w:line="240" w:lineRule="auto"/>
      <w:ind w:left="720"/>
    </w:pPr>
    <w:rPr>
      <w:rFonts w:ascii="Calibri" w:hAnsi="Calibri" w:cs="Times New Roman"/>
      <w:lang w:eastAsia="es-CL"/>
    </w:rPr>
  </w:style>
  <w:style w:type="paragraph" w:styleId="Piedepgina">
    <w:name w:val="footer"/>
    <w:basedOn w:val="Normal"/>
    <w:link w:val="PiedepginaCar"/>
    <w:uiPriority w:val="99"/>
    <w:unhideWhenUsed/>
    <w:rsid w:val="006B5B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2660">
      <w:bodyDiv w:val="1"/>
      <w:marLeft w:val="0"/>
      <w:marRight w:val="0"/>
      <w:marTop w:val="0"/>
      <w:marBottom w:val="0"/>
      <w:divBdr>
        <w:top w:val="none" w:sz="0" w:space="0" w:color="auto"/>
        <w:left w:val="none" w:sz="0" w:space="0" w:color="auto"/>
        <w:bottom w:val="none" w:sz="0" w:space="0" w:color="auto"/>
        <w:right w:val="none" w:sz="0" w:space="0" w:color="auto"/>
      </w:divBdr>
    </w:div>
    <w:div w:id="1558130483">
      <w:bodyDiv w:val="1"/>
      <w:marLeft w:val="0"/>
      <w:marRight w:val="0"/>
      <w:marTop w:val="0"/>
      <w:marBottom w:val="0"/>
      <w:divBdr>
        <w:top w:val="none" w:sz="0" w:space="0" w:color="auto"/>
        <w:left w:val="none" w:sz="0" w:space="0" w:color="auto"/>
        <w:bottom w:val="none" w:sz="0" w:space="0" w:color="auto"/>
        <w:right w:val="none" w:sz="0" w:space="0" w:color="auto"/>
      </w:divBdr>
    </w:div>
    <w:div w:id="16811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astapublica@subpesca.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2079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5</cp:revision>
  <dcterms:created xsi:type="dcterms:W3CDTF">2020-03-17T20:34:00Z</dcterms:created>
  <dcterms:modified xsi:type="dcterms:W3CDTF">2020-03-17T20:36:00Z</dcterms:modified>
</cp:coreProperties>
</file>