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2D" w:rsidRDefault="00F52A2D" w:rsidP="00853254">
      <w:pPr>
        <w:jc w:val="center"/>
        <w:rPr>
          <w:rFonts w:ascii="gobCL" w:hAnsi="gobCL"/>
          <w:b/>
          <w:color w:val="1F497D" w:themeColor="text2"/>
        </w:rPr>
      </w:pPr>
    </w:p>
    <w:p w:rsidR="004144ED" w:rsidRPr="00E36454" w:rsidRDefault="00E36454" w:rsidP="00853254">
      <w:pPr>
        <w:jc w:val="center"/>
        <w:rPr>
          <w:rFonts w:ascii="gobCL" w:hAnsi="gobCL"/>
          <w:b/>
          <w:u w:val="single"/>
        </w:rPr>
      </w:pPr>
      <w:r w:rsidRPr="00E36454">
        <w:rPr>
          <w:rFonts w:ascii="gobCL" w:hAnsi="gobCL"/>
          <w:b/>
        </w:rPr>
        <w:t xml:space="preserve">ACLARACIONES A LAS BASES DIRIGIDAS AL CORREO ELECTRÓNICO </w:t>
      </w:r>
      <w:hyperlink r:id="rId8" w:history="1">
        <w:r w:rsidRPr="00E36454">
          <w:rPr>
            <w:rStyle w:val="Hipervnculo"/>
            <w:rFonts w:ascii="gobCL" w:hAnsi="gobCL"/>
            <w:b/>
            <w:color w:val="auto"/>
          </w:rPr>
          <w:t>SUBASTAPUBLICA@SUBPESCA.CL</w:t>
        </w:r>
      </w:hyperlink>
      <w:r w:rsidRPr="00E36454">
        <w:rPr>
          <w:rFonts w:ascii="gobCL" w:hAnsi="gobCL"/>
          <w:b/>
        </w:rPr>
        <w:t xml:space="preserve">, </w:t>
      </w:r>
      <w:r w:rsidRPr="00E36454">
        <w:rPr>
          <w:rFonts w:ascii="gobCL" w:hAnsi="gobCL"/>
          <w:b/>
          <w:u w:val="single"/>
        </w:rPr>
        <w:t>SEGÚN EL ORDEN DE LLEGADA Y DENTRO DEL PLAZO DE 72 HORAS.</w:t>
      </w:r>
    </w:p>
    <w:p w:rsidR="00C96046" w:rsidRDefault="00C96046" w:rsidP="00853254">
      <w:pPr>
        <w:jc w:val="center"/>
        <w:rPr>
          <w:rFonts w:ascii="gobCL" w:hAnsi="gobCL"/>
          <w:b/>
          <w:color w:val="1F497D" w:themeColor="text2"/>
          <w:u w:val="single"/>
        </w:rPr>
      </w:pPr>
    </w:p>
    <w:p w:rsidR="004144ED" w:rsidRDefault="004144ED" w:rsidP="004144ED">
      <w:pPr>
        <w:pStyle w:val="Prrafodelista"/>
        <w:numPr>
          <w:ilvl w:val="0"/>
          <w:numId w:val="1"/>
        </w:numPr>
        <w:jc w:val="both"/>
        <w:rPr>
          <w:rFonts w:ascii="gobCL" w:hAnsi="gobCL"/>
          <w:sz w:val="22"/>
          <w:szCs w:val="22"/>
        </w:rPr>
      </w:pPr>
      <w:r>
        <w:rPr>
          <w:rFonts w:ascii="gobCL" w:hAnsi="gobCL"/>
          <w:sz w:val="22"/>
          <w:szCs w:val="22"/>
        </w:rPr>
        <w:t xml:space="preserve">Las bases de la subasta de reasignación de permisos extraordinario de pesca del recurso bacalao de profundidad para el sector artesanal, la cual se descargó del sitio oficial de </w:t>
      </w:r>
      <w:proofErr w:type="spellStart"/>
      <w:r>
        <w:rPr>
          <w:rFonts w:ascii="gobCL" w:hAnsi="gobCL"/>
          <w:sz w:val="22"/>
          <w:szCs w:val="22"/>
        </w:rPr>
        <w:t>Sernapesca</w:t>
      </w:r>
      <w:proofErr w:type="spellEnd"/>
      <w:r>
        <w:rPr>
          <w:rFonts w:ascii="gobCL" w:hAnsi="gobCL"/>
          <w:sz w:val="22"/>
          <w:szCs w:val="22"/>
        </w:rPr>
        <w:t>, documento R. EX. N° 4090, se encuentra incompleta, faltando las páginas 6 y 8, de dicha publicación del 27 de noviembre del presente.</w:t>
      </w:r>
      <w:r w:rsidR="00C96046">
        <w:rPr>
          <w:rFonts w:ascii="gobCL" w:hAnsi="gobCL"/>
          <w:sz w:val="22"/>
          <w:szCs w:val="22"/>
        </w:rPr>
        <w:t xml:space="preserve"> (Recibida el 30.11.2018- Contestada el 03.12.2018)</w:t>
      </w:r>
    </w:p>
    <w:p w:rsidR="004144ED" w:rsidRDefault="004144ED" w:rsidP="004144ED">
      <w:pPr>
        <w:pStyle w:val="Prrafodelista"/>
        <w:jc w:val="both"/>
        <w:rPr>
          <w:rFonts w:ascii="gobCL" w:hAnsi="gobCL"/>
          <w:sz w:val="22"/>
          <w:szCs w:val="22"/>
        </w:rPr>
      </w:pPr>
    </w:p>
    <w:p w:rsidR="004144ED" w:rsidRPr="0093750D" w:rsidRDefault="004144ED" w:rsidP="004144ED">
      <w:pPr>
        <w:pStyle w:val="Prrafodelista"/>
        <w:jc w:val="both"/>
        <w:rPr>
          <w:rFonts w:ascii="gobCL" w:hAnsi="gobCL"/>
          <w:b/>
          <w:color w:val="365F91" w:themeColor="accent1" w:themeShade="BF"/>
          <w:sz w:val="22"/>
          <w:szCs w:val="22"/>
        </w:rPr>
      </w:pPr>
      <w:r w:rsidRPr="0093750D">
        <w:rPr>
          <w:rFonts w:ascii="gobCL" w:hAnsi="gobCL"/>
          <w:b/>
          <w:color w:val="365F91" w:themeColor="accent1" w:themeShade="BF"/>
          <w:sz w:val="22"/>
          <w:szCs w:val="22"/>
        </w:rPr>
        <w:t>Con fecha 30 de noviembre de 2018, se realizó la publicación oficial de las Bases de dicho recurso, e</w:t>
      </w:r>
      <w:r w:rsidR="008445CF">
        <w:rPr>
          <w:rFonts w:ascii="gobCL" w:hAnsi="gobCL"/>
          <w:b/>
          <w:color w:val="365F91" w:themeColor="accent1" w:themeShade="BF"/>
          <w:sz w:val="22"/>
          <w:szCs w:val="22"/>
        </w:rPr>
        <w:t>n la página de la Subsecretaría de Pesca y Acuicultura.</w:t>
      </w:r>
    </w:p>
    <w:p w:rsidR="004144ED" w:rsidRDefault="004144ED" w:rsidP="004144ED">
      <w:pPr>
        <w:pStyle w:val="Prrafodelista"/>
        <w:jc w:val="both"/>
        <w:rPr>
          <w:rStyle w:val="Hipervnculo"/>
          <w:rFonts w:ascii="gobCL" w:hAnsi="gobCL"/>
          <w:b/>
          <w:color w:val="365F91" w:themeColor="accent1" w:themeShade="BF"/>
          <w:sz w:val="22"/>
          <w:szCs w:val="22"/>
        </w:rPr>
      </w:pPr>
      <w:r w:rsidRPr="0093750D">
        <w:rPr>
          <w:rFonts w:ascii="gobCL" w:hAnsi="gobCL"/>
          <w:b/>
          <w:color w:val="365F91" w:themeColor="accent1" w:themeShade="BF"/>
          <w:sz w:val="22"/>
          <w:szCs w:val="22"/>
        </w:rPr>
        <w:t xml:space="preserve">Dirigirse al siguiente enlace: </w:t>
      </w:r>
      <w:hyperlink r:id="rId9" w:history="1">
        <w:r w:rsidRPr="0093750D">
          <w:rPr>
            <w:rStyle w:val="Hipervnculo"/>
            <w:rFonts w:ascii="gobCL" w:hAnsi="gobCL"/>
            <w:b/>
            <w:color w:val="365F91" w:themeColor="accent1" w:themeShade="BF"/>
            <w:sz w:val="22"/>
            <w:szCs w:val="22"/>
          </w:rPr>
          <w:t>http://www.subpesca.cl/portal/616/w3-article-102383.html</w:t>
        </w:r>
      </w:hyperlink>
    </w:p>
    <w:p w:rsidR="00C96046" w:rsidRDefault="00C96046" w:rsidP="004144ED">
      <w:pPr>
        <w:pStyle w:val="Prrafodelista"/>
        <w:jc w:val="both"/>
        <w:rPr>
          <w:rFonts w:ascii="gobCL" w:hAnsi="gobCL"/>
          <w:b/>
          <w:color w:val="365F91" w:themeColor="accent1" w:themeShade="BF"/>
          <w:sz w:val="22"/>
          <w:szCs w:val="22"/>
        </w:rPr>
      </w:pPr>
    </w:p>
    <w:p w:rsidR="00C96046" w:rsidRPr="0093750D" w:rsidRDefault="00C96046" w:rsidP="004144ED">
      <w:pPr>
        <w:pStyle w:val="Prrafodelista"/>
        <w:jc w:val="both"/>
        <w:rPr>
          <w:rFonts w:ascii="gobCL" w:hAnsi="gobCL"/>
          <w:b/>
          <w:color w:val="365F91" w:themeColor="accent1" w:themeShade="BF"/>
          <w:sz w:val="22"/>
          <w:szCs w:val="22"/>
        </w:rPr>
      </w:pPr>
    </w:p>
    <w:p w:rsidR="00853254" w:rsidRPr="00567C73" w:rsidRDefault="000D5B9C" w:rsidP="004144ED">
      <w:pPr>
        <w:pStyle w:val="Sinespaciado"/>
        <w:numPr>
          <w:ilvl w:val="0"/>
          <w:numId w:val="1"/>
        </w:numPr>
        <w:rPr>
          <w:rFonts w:ascii="gobCL" w:hAnsi="gobCL"/>
        </w:rPr>
      </w:pPr>
      <w:r w:rsidRPr="00567C73">
        <w:rPr>
          <w:rFonts w:ascii="gobCL" w:hAnsi="gobCL"/>
        </w:rPr>
        <w:t>La solicitud de “Copia autorizada de la cedula de Identidad”</w:t>
      </w:r>
      <w:r w:rsidR="00567C73">
        <w:rPr>
          <w:rFonts w:ascii="gobCL" w:hAnsi="gobCL"/>
        </w:rPr>
        <w:t xml:space="preserve"> </w:t>
      </w:r>
      <w:r w:rsidR="00921951" w:rsidRPr="00567C73">
        <w:rPr>
          <w:rFonts w:ascii="gobCL" w:hAnsi="gobCL"/>
        </w:rPr>
        <w:t>a</w:t>
      </w:r>
      <w:r w:rsidRPr="00567C73">
        <w:rPr>
          <w:rFonts w:ascii="gobCL" w:hAnsi="gobCL"/>
        </w:rPr>
        <w:t xml:space="preserve"> que s</w:t>
      </w:r>
      <w:r w:rsidR="00567C73">
        <w:rPr>
          <w:rFonts w:ascii="gobCL" w:hAnsi="gobCL"/>
        </w:rPr>
        <w:t>e refiere el Art. 9 letra a), ¿S</w:t>
      </w:r>
      <w:r w:rsidRPr="00567C73">
        <w:rPr>
          <w:rFonts w:ascii="gobCL" w:hAnsi="gobCL"/>
        </w:rPr>
        <w:t>e refiere a una copia legalizada ante notario? O es otra la exigencia.</w:t>
      </w:r>
    </w:p>
    <w:p w:rsidR="00FF096C" w:rsidRPr="0024037D" w:rsidRDefault="00FF096C" w:rsidP="00921951">
      <w:pPr>
        <w:pStyle w:val="Sinespaciado"/>
        <w:rPr>
          <w:rFonts w:ascii="gobCL" w:hAnsi="gobCL"/>
        </w:rPr>
      </w:pPr>
    </w:p>
    <w:p w:rsidR="00FF096C" w:rsidRPr="0093750D" w:rsidRDefault="008445CF" w:rsidP="004144ED">
      <w:pPr>
        <w:pStyle w:val="Sinespaciado"/>
        <w:ind w:firstLine="708"/>
        <w:rPr>
          <w:rFonts w:ascii="gobCL" w:hAnsi="gobCL"/>
          <w:b/>
          <w:color w:val="365F91" w:themeColor="accent1" w:themeShade="BF"/>
        </w:rPr>
      </w:pPr>
      <w:r>
        <w:rPr>
          <w:rFonts w:ascii="gobCL" w:hAnsi="gobCL"/>
          <w:b/>
          <w:color w:val="365F91" w:themeColor="accent1" w:themeShade="BF"/>
        </w:rPr>
        <w:t>Sí, s</w:t>
      </w:r>
      <w:r w:rsidR="0024037D" w:rsidRPr="0093750D">
        <w:rPr>
          <w:rFonts w:ascii="gobCL" w:hAnsi="gobCL"/>
          <w:b/>
          <w:color w:val="365F91" w:themeColor="accent1" w:themeShade="BF"/>
        </w:rPr>
        <w:t>e refiere a c</w:t>
      </w:r>
      <w:r w:rsidR="00FF096C" w:rsidRPr="0093750D">
        <w:rPr>
          <w:rFonts w:ascii="gobCL" w:hAnsi="gobCL"/>
          <w:b/>
          <w:color w:val="365F91" w:themeColor="accent1" w:themeShade="BF"/>
        </w:rPr>
        <w:t>opia legalizada ante notario.</w:t>
      </w:r>
    </w:p>
    <w:p w:rsidR="000B6B41" w:rsidRPr="0024037D" w:rsidRDefault="000B6B41" w:rsidP="00921951">
      <w:pPr>
        <w:pStyle w:val="Sinespaciado"/>
        <w:rPr>
          <w:rFonts w:ascii="gobCL" w:hAnsi="gobCL"/>
        </w:rPr>
      </w:pPr>
    </w:p>
    <w:p w:rsidR="000D5B9C" w:rsidRDefault="000D5B9C" w:rsidP="004144ED">
      <w:pPr>
        <w:pStyle w:val="Prrafodelista"/>
        <w:numPr>
          <w:ilvl w:val="0"/>
          <w:numId w:val="1"/>
        </w:numPr>
        <w:jc w:val="both"/>
        <w:rPr>
          <w:rFonts w:ascii="gobCL" w:hAnsi="gobCL"/>
        </w:rPr>
      </w:pPr>
      <w:r w:rsidRPr="004144ED">
        <w:rPr>
          <w:rFonts w:ascii="gobCL" w:hAnsi="gobCL"/>
        </w:rPr>
        <w:t xml:space="preserve">Con la definición de </w:t>
      </w:r>
      <w:r w:rsidR="00567C73" w:rsidRPr="00567C73">
        <w:rPr>
          <w:rFonts w:ascii="gobCL" w:hAnsi="gobCL"/>
          <w:sz w:val="22"/>
          <w:szCs w:val="22"/>
        </w:rPr>
        <w:t>PESCA DEL RECURSO BACALAO DE PROFUNDIDAD</w:t>
      </w:r>
      <w:r w:rsidRPr="004144ED">
        <w:rPr>
          <w:rFonts w:ascii="gobCL" w:hAnsi="gobCL"/>
        </w:rPr>
        <w:t xml:space="preserve">, </w:t>
      </w:r>
      <w:r w:rsidR="000B6B41" w:rsidRPr="004144ED">
        <w:rPr>
          <w:rFonts w:ascii="gobCL" w:hAnsi="gobCL"/>
        </w:rPr>
        <w:t>¿se refiere</w:t>
      </w:r>
      <w:r w:rsidR="00567C73">
        <w:rPr>
          <w:rFonts w:ascii="gobCL" w:hAnsi="gobCL"/>
        </w:rPr>
        <w:t xml:space="preserve"> a la pesca Industrial?</w:t>
      </w:r>
    </w:p>
    <w:p w:rsidR="00C40FC4" w:rsidRPr="004144ED" w:rsidRDefault="00C40FC4" w:rsidP="00C40FC4">
      <w:pPr>
        <w:pStyle w:val="Prrafodelista"/>
        <w:jc w:val="both"/>
        <w:rPr>
          <w:rFonts w:ascii="gobCL" w:hAnsi="gobCL"/>
        </w:rPr>
      </w:pPr>
    </w:p>
    <w:p w:rsidR="00567C73" w:rsidRDefault="00567C73" w:rsidP="004144ED">
      <w:pPr>
        <w:ind w:left="708"/>
        <w:jc w:val="both"/>
        <w:rPr>
          <w:rFonts w:ascii="gobCL" w:hAnsi="gobCL"/>
          <w:b/>
          <w:color w:val="365F91" w:themeColor="accent1" w:themeShade="BF"/>
        </w:rPr>
      </w:pPr>
      <w:r>
        <w:rPr>
          <w:rFonts w:ascii="gobCL" w:hAnsi="gobCL"/>
          <w:b/>
          <w:color w:val="365F91" w:themeColor="accent1" w:themeShade="BF"/>
        </w:rPr>
        <w:t xml:space="preserve">En la Subasta </w:t>
      </w:r>
      <w:r w:rsidR="0048366B">
        <w:rPr>
          <w:rFonts w:ascii="gobCL" w:hAnsi="gobCL"/>
          <w:b/>
          <w:color w:val="365F91" w:themeColor="accent1" w:themeShade="BF"/>
        </w:rPr>
        <w:t xml:space="preserve">Ordinaria </w:t>
      </w:r>
      <w:r>
        <w:rPr>
          <w:rFonts w:ascii="gobCL" w:hAnsi="gobCL"/>
          <w:b/>
          <w:color w:val="365F91" w:themeColor="accent1" w:themeShade="BF"/>
        </w:rPr>
        <w:t xml:space="preserve">de </w:t>
      </w:r>
      <w:r w:rsidR="00DE4BB3" w:rsidRPr="0093750D">
        <w:rPr>
          <w:rFonts w:ascii="gobCL" w:hAnsi="gobCL"/>
          <w:b/>
          <w:color w:val="365F91" w:themeColor="accent1" w:themeShade="BF"/>
        </w:rPr>
        <w:t>Permisos Extraordinarios de Pesca de Bacalao de Profundidad año 2019</w:t>
      </w:r>
      <w:r w:rsidR="0052735E">
        <w:rPr>
          <w:rFonts w:ascii="gobCL" w:hAnsi="gobCL"/>
          <w:b/>
          <w:color w:val="365F91" w:themeColor="accent1" w:themeShade="BF"/>
        </w:rPr>
        <w:t xml:space="preserve"> (RES. EX. 4089.2018)</w:t>
      </w:r>
      <w:r w:rsidR="00DE4BB3" w:rsidRPr="0093750D">
        <w:rPr>
          <w:rFonts w:ascii="gobCL" w:hAnsi="gobCL"/>
          <w:b/>
          <w:color w:val="365F91" w:themeColor="accent1" w:themeShade="BF"/>
        </w:rPr>
        <w:t>, pueden participar oferentes del sector industrial</w:t>
      </w:r>
      <w:r>
        <w:rPr>
          <w:rFonts w:ascii="gobCL" w:hAnsi="gobCL"/>
          <w:b/>
          <w:color w:val="365F91" w:themeColor="accent1" w:themeShade="BF"/>
        </w:rPr>
        <w:t>, artesanal y plantas, así como toda persona natural chilena o extranjera con residencia definitiva en el país y personas jurídicas constituidas legalmente en Chile.</w:t>
      </w:r>
      <w:r w:rsidR="00DE4BB3" w:rsidRPr="0093750D">
        <w:rPr>
          <w:rFonts w:ascii="gobCL" w:hAnsi="gobCL"/>
          <w:b/>
          <w:color w:val="365F91" w:themeColor="accent1" w:themeShade="BF"/>
        </w:rPr>
        <w:t xml:space="preserve"> </w:t>
      </w:r>
    </w:p>
    <w:p w:rsidR="0052735E" w:rsidRDefault="00DE4BB3" w:rsidP="004144ED">
      <w:pPr>
        <w:ind w:left="708"/>
        <w:jc w:val="both"/>
        <w:rPr>
          <w:rFonts w:ascii="gobCL" w:hAnsi="gobCL"/>
          <w:b/>
          <w:color w:val="365F91" w:themeColor="accent1" w:themeShade="BF"/>
        </w:rPr>
      </w:pPr>
      <w:r w:rsidRPr="0093750D">
        <w:rPr>
          <w:rFonts w:ascii="gobCL" w:hAnsi="gobCL"/>
          <w:b/>
          <w:color w:val="365F91" w:themeColor="accent1" w:themeShade="BF"/>
        </w:rPr>
        <w:t xml:space="preserve">Lo anterior, en virtud de que </w:t>
      </w:r>
      <w:r w:rsidR="005D5291" w:rsidRPr="0093750D">
        <w:rPr>
          <w:rFonts w:ascii="gobCL" w:hAnsi="gobCL"/>
          <w:b/>
          <w:color w:val="365F91" w:themeColor="accent1" w:themeShade="BF"/>
        </w:rPr>
        <w:t xml:space="preserve">se ha cumplido el periodo de 5 años establecido en el artículo décimo quinto transitorio de la ley 20.657, </w:t>
      </w:r>
      <w:r w:rsidR="00567C73">
        <w:rPr>
          <w:rFonts w:ascii="gobCL" w:hAnsi="gobCL"/>
          <w:b/>
          <w:color w:val="365F91" w:themeColor="accent1" w:themeShade="BF"/>
        </w:rPr>
        <w:t xml:space="preserve">habiéndose </w:t>
      </w:r>
      <w:r w:rsidR="005D5291" w:rsidRPr="0093750D">
        <w:rPr>
          <w:rFonts w:ascii="gobCL" w:hAnsi="gobCL"/>
          <w:b/>
          <w:color w:val="365F91" w:themeColor="accent1" w:themeShade="BF"/>
        </w:rPr>
        <w:t>alcanzado el 30% del porcentaje a subastar</w:t>
      </w:r>
      <w:r w:rsidR="00047048" w:rsidRPr="0093750D">
        <w:rPr>
          <w:rFonts w:ascii="gobCL" w:hAnsi="gobCL"/>
          <w:b/>
          <w:color w:val="365F91" w:themeColor="accent1" w:themeShade="BF"/>
        </w:rPr>
        <w:t>,</w:t>
      </w:r>
      <w:r w:rsidR="005D5291" w:rsidRPr="0093750D">
        <w:rPr>
          <w:rFonts w:ascii="gobCL" w:hAnsi="gobCL"/>
          <w:b/>
          <w:color w:val="365F91" w:themeColor="accent1" w:themeShade="BF"/>
        </w:rPr>
        <w:t xml:space="preserve"> rese</w:t>
      </w:r>
      <w:r w:rsidR="00D93060">
        <w:rPr>
          <w:rFonts w:ascii="gobCL" w:hAnsi="gobCL"/>
          <w:b/>
          <w:color w:val="365F91" w:themeColor="accent1" w:themeShade="BF"/>
        </w:rPr>
        <w:t>rvado para el sector artesanal, por lo tanto, en esta subasta, todos los adjudicatarios deberán someterse a la normativa general de Subasta de Permisos Extraordinarios de Pesca.</w:t>
      </w:r>
    </w:p>
    <w:p w:rsidR="00E36454" w:rsidRDefault="00E36454" w:rsidP="004144ED">
      <w:pPr>
        <w:ind w:left="708"/>
        <w:jc w:val="both"/>
        <w:rPr>
          <w:rFonts w:ascii="gobCL" w:hAnsi="gobCL"/>
          <w:b/>
          <w:color w:val="365F91" w:themeColor="accent1" w:themeShade="BF"/>
        </w:rPr>
      </w:pPr>
    </w:p>
    <w:p w:rsidR="00E36454" w:rsidRPr="0093750D" w:rsidRDefault="00E36454" w:rsidP="004144ED">
      <w:pPr>
        <w:ind w:left="708"/>
        <w:jc w:val="both"/>
        <w:rPr>
          <w:rFonts w:ascii="gobCL" w:hAnsi="gobCL"/>
          <w:b/>
          <w:color w:val="365F91" w:themeColor="accent1" w:themeShade="BF"/>
        </w:rPr>
      </w:pPr>
    </w:p>
    <w:p w:rsidR="00E36454" w:rsidRDefault="00E36454" w:rsidP="00E36454">
      <w:pPr>
        <w:pStyle w:val="Prrafodelista"/>
        <w:jc w:val="both"/>
        <w:rPr>
          <w:rFonts w:ascii="gobCL" w:hAnsi="gobCL"/>
        </w:rPr>
      </w:pPr>
    </w:p>
    <w:p w:rsidR="00E36454" w:rsidRDefault="00E36454" w:rsidP="00E36454">
      <w:pPr>
        <w:pStyle w:val="Prrafodelista"/>
        <w:jc w:val="both"/>
        <w:rPr>
          <w:rFonts w:ascii="gobCL" w:hAnsi="gobCL"/>
        </w:rPr>
      </w:pPr>
    </w:p>
    <w:p w:rsidR="005B0AE1" w:rsidRDefault="005B0AE1" w:rsidP="004144ED">
      <w:pPr>
        <w:pStyle w:val="Prrafodelista"/>
        <w:numPr>
          <w:ilvl w:val="0"/>
          <w:numId w:val="1"/>
        </w:numPr>
        <w:jc w:val="both"/>
        <w:rPr>
          <w:rFonts w:ascii="gobCL" w:hAnsi="gobCL"/>
        </w:rPr>
      </w:pPr>
      <w:r w:rsidRPr="004144ED">
        <w:rPr>
          <w:rFonts w:ascii="gobCL" w:hAnsi="gobCL"/>
        </w:rPr>
        <w:t xml:space="preserve">En el Punto 7 </w:t>
      </w:r>
      <w:r w:rsidR="004144ED">
        <w:rPr>
          <w:rFonts w:ascii="gobCL" w:hAnsi="gobCL"/>
        </w:rPr>
        <w:t>“</w:t>
      </w:r>
      <w:r w:rsidRPr="004144ED">
        <w:rPr>
          <w:rFonts w:ascii="gobCL" w:hAnsi="gobCL"/>
          <w:b/>
        </w:rPr>
        <w:t>D</w:t>
      </w:r>
      <w:r w:rsidR="000B6B41" w:rsidRPr="004144ED">
        <w:rPr>
          <w:rFonts w:ascii="gobCL" w:hAnsi="gobCL"/>
          <w:b/>
        </w:rPr>
        <w:t>e los sobres</w:t>
      </w:r>
      <w:r w:rsidR="004144ED">
        <w:rPr>
          <w:rFonts w:ascii="gobCL" w:hAnsi="gobCL"/>
          <w:b/>
        </w:rPr>
        <w:t>”</w:t>
      </w:r>
      <w:r w:rsidR="000B6B41" w:rsidRPr="004144ED">
        <w:rPr>
          <w:rFonts w:ascii="gobCL" w:hAnsi="gobCL"/>
          <w:b/>
        </w:rPr>
        <w:t xml:space="preserve"> </w:t>
      </w:r>
      <w:r w:rsidR="000B6B41" w:rsidRPr="004144ED">
        <w:rPr>
          <w:rFonts w:ascii="gobCL" w:hAnsi="gobCL"/>
        </w:rPr>
        <w:t xml:space="preserve">letra </w:t>
      </w:r>
      <w:r w:rsidR="00921951" w:rsidRPr="004144ED">
        <w:rPr>
          <w:rFonts w:ascii="gobCL" w:hAnsi="gobCL"/>
        </w:rPr>
        <w:t xml:space="preserve"> b</w:t>
      </w:r>
      <w:r w:rsidRPr="004144ED">
        <w:rPr>
          <w:rFonts w:ascii="gobCL" w:hAnsi="gobCL"/>
        </w:rPr>
        <w:t>)</w:t>
      </w:r>
      <w:r w:rsidR="004144ED">
        <w:rPr>
          <w:rFonts w:ascii="gobCL" w:hAnsi="gobCL"/>
        </w:rPr>
        <w:t>, i</w:t>
      </w:r>
      <w:r w:rsidRPr="004144ED">
        <w:rPr>
          <w:rFonts w:ascii="gobCL" w:hAnsi="gobCL"/>
        </w:rPr>
        <w:t xml:space="preserve">ndica sobre la presentación </w:t>
      </w:r>
      <w:r w:rsidR="00921951" w:rsidRPr="004144ED">
        <w:rPr>
          <w:rFonts w:ascii="gobCL" w:hAnsi="gobCL"/>
        </w:rPr>
        <w:t>de</w:t>
      </w:r>
      <w:r w:rsidRPr="004144ED">
        <w:rPr>
          <w:rFonts w:ascii="gobCL" w:hAnsi="gobCL"/>
        </w:rPr>
        <w:t xml:space="preserve"> los sobres, dice cuyo valor en pesos deberá estar expresado en Unidades Tributarias Mensual a la fecha de l</w:t>
      </w:r>
      <w:r w:rsidR="004144ED">
        <w:rPr>
          <w:rFonts w:ascii="gobCL" w:hAnsi="gobCL"/>
        </w:rPr>
        <w:t>a presentación  y menciona el nú</w:t>
      </w:r>
      <w:r w:rsidRPr="004144ED">
        <w:rPr>
          <w:rFonts w:ascii="gobCL" w:hAnsi="gobCL"/>
        </w:rPr>
        <w:t xml:space="preserve">mero 6 de las presentes bases ¿indica este punto solo por la </w:t>
      </w:r>
      <w:r w:rsidR="00AA61AA" w:rsidRPr="004144ED">
        <w:rPr>
          <w:rFonts w:ascii="gobCL" w:hAnsi="gobCL"/>
        </w:rPr>
        <w:t>.</w:t>
      </w:r>
      <w:r w:rsidR="00921951" w:rsidRPr="004144ED">
        <w:rPr>
          <w:rFonts w:ascii="gobCL" w:hAnsi="gobCL"/>
        </w:rPr>
        <w:t>División</w:t>
      </w:r>
      <w:r w:rsidR="000C1C2B" w:rsidRPr="004144ED">
        <w:rPr>
          <w:rFonts w:ascii="gobCL" w:hAnsi="gobCL"/>
        </w:rPr>
        <w:t xml:space="preserve"> de los lotes o se refiere a </w:t>
      </w:r>
      <w:r w:rsidRPr="004144ED">
        <w:rPr>
          <w:rFonts w:ascii="gobCL" w:hAnsi="gobCL"/>
        </w:rPr>
        <w:t xml:space="preserve"> algo relacionado con la UTM? </w:t>
      </w:r>
    </w:p>
    <w:p w:rsidR="004144ED" w:rsidRPr="004144ED" w:rsidRDefault="004144ED" w:rsidP="0093750D">
      <w:pPr>
        <w:pStyle w:val="Prrafodelista"/>
        <w:jc w:val="both"/>
        <w:rPr>
          <w:rFonts w:ascii="gobCL" w:hAnsi="gobCL"/>
        </w:rPr>
      </w:pPr>
    </w:p>
    <w:p w:rsidR="00D93060" w:rsidRPr="00086EB3" w:rsidRDefault="0052735E" w:rsidP="00567C73">
      <w:pPr>
        <w:ind w:left="708"/>
        <w:jc w:val="both"/>
        <w:rPr>
          <w:rFonts w:ascii="gobCL" w:hAnsi="gobCL"/>
          <w:b/>
          <w:color w:val="365F91" w:themeColor="accent1" w:themeShade="BF"/>
        </w:rPr>
      </w:pPr>
      <w:r w:rsidRPr="00086EB3">
        <w:rPr>
          <w:rFonts w:ascii="gobCL" w:hAnsi="gobCL"/>
          <w:b/>
          <w:color w:val="365F91" w:themeColor="accent1" w:themeShade="BF"/>
        </w:rPr>
        <w:t>Hace referencia a que se debe ofertar un valor en UTM por cada lote a subastar</w:t>
      </w:r>
      <w:r w:rsidR="00D93060" w:rsidRPr="00086EB3">
        <w:rPr>
          <w:rFonts w:ascii="gobCL" w:hAnsi="gobCL"/>
          <w:b/>
          <w:color w:val="365F91" w:themeColor="accent1" w:themeShade="BF"/>
        </w:rPr>
        <w:t>.</w:t>
      </w:r>
    </w:p>
    <w:p w:rsidR="00567C73" w:rsidRDefault="00D93060" w:rsidP="00567C73">
      <w:pPr>
        <w:ind w:left="708"/>
        <w:jc w:val="both"/>
        <w:rPr>
          <w:rFonts w:ascii="gobCL" w:hAnsi="gobCL"/>
          <w:b/>
          <w:color w:val="365F91" w:themeColor="accent1" w:themeShade="BF"/>
        </w:rPr>
      </w:pPr>
      <w:r w:rsidRPr="00086EB3">
        <w:rPr>
          <w:rFonts w:ascii="gobCL" w:hAnsi="gobCL"/>
          <w:b/>
          <w:color w:val="365F91" w:themeColor="accent1" w:themeShade="BF"/>
        </w:rPr>
        <w:t>El valor de la UTM corresponderá al de la fecha de presentación.</w:t>
      </w:r>
      <w:r w:rsidR="007D7156" w:rsidRPr="00086EB3">
        <w:rPr>
          <w:rFonts w:ascii="gobCL" w:hAnsi="gobCL"/>
          <w:b/>
          <w:color w:val="365F91" w:themeColor="accent1" w:themeShade="BF"/>
        </w:rPr>
        <w:t xml:space="preserve"> </w:t>
      </w:r>
    </w:p>
    <w:p w:rsidR="00E36454" w:rsidRPr="00086EB3" w:rsidRDefault="00E36454" w:rsidP="00567C73">
      <w:pPr>
        <w:ind w:left="708"/>
        <w:jc w:val="both"/>
        <w:rPr>
          <w:rFonts w:ascii="gobCL" w:hAnsi="gobCL"/>
          <w:b/>
          <w:color w:val="365F91" w:themeColor="accent1" w:themeShade="BF"/>
        </w:rPr>
      </w:pPr>
    </w:p>
    <w:p w:rsidR="005B0AE1" w:rsidRPr="00567C73" w:rsidRDefault="00567C73" w:rsidP="00567C73">
      <w:pPr>
        <w:pStyle w:val="Prrafodelista"/>
        <w:numPr>
          <w:ilvl w:val="0"/>
          <w:numId w:val="1"/>
        </w:numPr>
        <w:jc w:val="both"/>
        <w:rPr>
          <w:rFonts w:ascii="gobCL" w:hAnsi="gobCL"/>
        </w:rPr>
      </w:pPr>
      <w:r>
        <w:rPr>
          <w:rFonts w:ascii="gobCL" w:hAnsi="gobCL"/>
        </w:rPr>
        <w:t>P</w:t>
      </w:r>
      <w:r w:rsidR="005B0AE1" w:rsidRPr="00567C73">
        <w:rPr>
          <w:rFonts w:ascii="gobCL" w:hAnsi="gobCL"/>
        </w:rPr>
        <w:t>or favor con</w:t>
      </w:r>
      <w:r w:rsidR="000C1C2B" w:rsidRPr="00567C73">
        <w:rPr>
          <w:rFonts w:ascii="gobCL" w:hAnsi="gobCL"/>
        </w:rPr>
        <w:t>firmar que se refiere al valor de</w:t>
      </w:r>
      <w:r w:rsidR="005B0AE1" w:rsidRPr="00567C73">
        <w:rPr>
          <w:rFonts w:ascii="gobCL" w:hAnsi="gobCL"/>
        </w:rPr>
        <w:t xml:space="preserve"> la UTM al mes de Diciembre</w:t>
      </w:r>
      <w:r w:rsidR="000C1C2B" w:rsidRPr="00567C73">
        <w:rPr>
          <w:rFonts w:ascii="gobCL" w:hAnsi="gobCL"/>
        </w:rPr>
        <w:t xml:space="preserve"> del 2018</w:t>
      </w:r>
      <w:r w:rsidR="005B0AE1" w:rsidRPr="00567C73">
        <w:rPr>
          <w:rFonts w:ascii="gobCL" w:hAnsi="gobCL"/>
        </w:rPr>
        <w:t>.</w:t>
      </w:r>
    </w:p>
    <w:p w:rsidR="004144ED" w:rsidRPr="004144ED" w:rsidRDefault="004144ED" w:rsidP="004144ED">
      <w:pPr>
        <w:pStyle w:val="Prrafodelista"/>
        <w:jc w:val="both"/>
        <w:rPr>
          <w:rFonts w:ascii="gobCL" w:hAnsi="gobCL"/>
        </w:rPr>
      </w:pPr>
    </w:p>
    <w:p w:rsidR="00D93060" w:rsidRDefault="00567C73" w:rsidP="00D93060">
      <w:pPr>
        <w:ind w:left="708"/>
        <w:jc w:val="both"/>
        <w:rPr>
          <w:rFonts w:ascii="gobCL" w:hAnsi="gobCL"/>
          <w:b/>
          <w:color w:val="365F91" w:themeColor="accent1" w:themeShade="BF"/>
        </w:rPr>
      </w:pPr>
      <w:r w:rsidRPr="00086EB3">
        <w:rPr>
          <w:rFonts w:ascii="gobCL" w:hAnsi="gobCL"/>
          <w:b/>
          <w:color w:val="365F91" w:themeColor="accent1" w:themeShade="BF"/>
        </w:rPr>
        <w:t xml:space="preserve">Se confirma </w:t>
      </w:r>
      <w:r w:rsidR="00D93060" w:rsidRPr="00086EB3">
        <w:rPr>
          <w:rFonts w:ascii="gobCL" w:hAnsi="gobCL"/>
          <w:b/>
          <w:color w:val="365F91" w:themeColor="accent1" w:themeShade="BF"/>
        </w:rPr>
        <w:t xml:space="preserve">que el </w:t>
      </w:r>
      <w:r w:rsidRPr="00086EB3">
        <w:rPr>
          <w:rFonts w:ascii="gobCL" w:hAnsi="gobCL"/>
          <w:b/>
          <w:color w:val="365F91" w:themeColor="accent1" w:themeShade="BF"/>
        </w:rPr>
        <w:t>valor de</w:t>
      </w:r>
      <w:r w:rsidR="00D93060" w:rsidRPr="00086EB3">
        <w:rPr>
          <w:rFonts w:ascii="gobCL" w:hAnsi="gobCL"/>
          <w:b/>
          <w:color w:val="365F91" w:themeColor="accent1" w:themeShade="BF"/>
        </w:rPr>
        <w:t xml:space="preserve"> la</w:t>
      </w:r>
      <w:r w:rsidRPr="00086EB3">
        <w:rPr>
          <w:rFonts w:ascii="gobCL" w:hAnsi="gobCL"/>
          <w:b/>
          <w:color w:val="365F91" w:themeColor="accent1" w:themeShade="BF"/>
        </w:rPr>
        <w:t xml:space="preserve"> UTM</w:t>
      </w:r>
      <w:r w:rsidR="00D93060" w:rsidRPr="00086EB3">
        <w:rPr>
          <w:rFonts w:ascii="gobCL" w:hAnsi="gobCL"/>
          <w:b/>
          <w:color w:val="365F91" w:themeColor="accent1" w:themeShade="BF"/>
        </w:rPr>
        <w:t xml:space="preserve"> es a la fecha de la presentación. </w:t>
      </w:r>
      <w:r w:rsidRPr="00086EB3">
        <w:rPr>
          <w:rFonts w:ascii="gobCL" w:hAnsi="gobCL"/>
          <w:b/>
          <w:color w:val="365F91" w:themeColor="accent1" w:themeShade="BF"/>
        </w:rPr>
        <w:t xml:space="preserve"> </w:t>
      </w:r>
    </w:p>
    <w:p w:rsidR="00E36454" w:rsidRPr="00086EB3" w:rsidRDefault="00E36454" w:rsidP="00D93060">
      <w:pPr>
        <w:ind w:left="708"/>
        <w:jc w:val="both"/>
        <w:rPr>
          <w:rFonts w:ascii="gobCL" w:hAnsi="gobCL"/>
          <w:b/>
          <w:color w:val="365F91" w:themeColor="accent1" w:themeShade="BF"/>
        </w:rPr>
      </w:pPr>
    </w:p>
    <w:p w:rsidR="001216D1" w:rsidRPr="00D93060" w:rsidRDefault="001216D1" w:rsidP="00D93060">
      <w:pPr>
        <w:pStyle w:val="Prrafodelista"/>
        <w:numPr>
          <w:ilvl w:val="0"/>
          <w:numId w:val="1"/>
        </w:numPr>
        <w:jc w:val="both"/>
        <w:rPr>
          <w:rFonts w:ascii="gobCL" w:hAnsi="gobCL"/>
        </w:rPr>
      </w:pPr>
      <w:r w:rsidRPr="00D93060">
        <w:rPr>
          <w:rFonts w:ascii="gobCL" w:hAnsi="gobCL"/>
        </w:rPr>
        <w:t>¿Existe un formato tipo para la presentación de las ofertas? ¿O cada oferente presenta su propio formato?</w:t>
      </w:r>
    </w:p>
    <w:p w:rsidR="004144ED" w:rsidRPr="004144ED" w:rsidRDefault="004144ED" w:rsidP="004144ED">
      <w:pPr>
        <w:pStyle w:val="Prrafodelista"/>
        <w:jc w:val="both"/>
        <w:rPr>
          <w:rFonts w:ascii="gobCL" w:hAnsi="gobCL"/>
        </w:rPr>
      </w:pPr>
    </w:p>
    <w:p w:rsidR="0093750D" w:rsidRPr="00086EB3" w:rsidRDefault="00567C73" w:rsidP="004144ED">
      <w:pPr>
        <w:ind w:left="708"/>
        <w:jc w:val="both"/>
        <w:rPr>
          <w:rFonts w:ascii="gobCL" w:hAnsi="gobCL"/>
          <w:b/>
          <w:color w:val="365F91" w:themeColor="accent1" w:themeShade="BF"/>
        </w:rPr>
      </w:pPr>
      <w:r w:rsidRPr="00086EB3">
        <w:rPr>
          <w:rFonts w:ascii="gobCL" w:hAnsi="gobCL"/>
          <w:b/>
          <w:color w:val="365F91" w:themeColor="accent1" w:themeShade="BF"/>
        </w:rPr>
        <w:t>Sí. P</w:t>
      </w:r>
      <w:r w:rsidR="00047048" w:rsidRPr="00086EB3">
        <w:rPr>
          <w:rFonts w:ascii="gobCL" w:hAnsi="gobCL"/>
          <w:b/>
          <w:color w:val="365F91" w:themeColor="accent1" w:themeShade="BF"/>
        </w:rPr>
        <w:t xml:space="preserve">ara facilidad de los </w:t>
      </w:r>
      <w:r w:rsidR="00B36A60" w:rsidRPr="00086EB3">
        <w:rPr>
          <w:rFonts w:ascii="gobCL" w:hAnsi="gobCL"/>
          <w:b/>
          <w:color w:val="365F91" w:themeColor="accent1" w:themeShade="BF"/>
        </w:rPr>
        <w:t>interesados</w:t>
      </w:r>
      <w:r w:rsidR="00047048" w:rsidRPr="00086EB3">
        <w:rPr>
          <w:rFonts w:ascii="gobCL" w:hAnsi="gobCL"/>
          <w:b/>
          <w:color w:val="365F91" w:themeColor="accent1" w:themeShade="BF"/>
        </w:rPr>
        <w:t>, se ha proporcionado</w:t>
      </w:r>
      <w:r w:rsidR="00B36A60" w:rsidRPr="00086EB3">
        <w:rPr>
          <w:rFonts w:ascii="gobCL" w:hAnsi="gobCL"/>
          <w:b/>
          <w:color w:val="365F91" w:themeColor="accent1" w:themeShade="BF"/>
        </w:rPr>
        <w:t xml:space="preserve"> y publicado</w:t>
      </w:r>
      <w:r w:rsidR="00047048" w:rsidRPr="00086EB3">
        <w:rPr>
          <w:rFonts w:ascii="gobCL" w:hAnsi="gobCL"/>
          <w:b/>
          <w:color w:val="365F91" w:themeColor="accent1" w:themeShade="BF"/>
        </w:rPr>
        <w:t xml:space="preserve"> en la página de la Subsecretaría de Pesca y Acuicultura, formatos tipo.</w:t>
      </w:r>
    </w:p>
    <w:p w:rsidR="00B36A60" w:rsidRDefault="00567C73" w:rsidP="004144ED">
      <w:pPr>
        <w:ind w:left="708"/>
        <w:jc w:val="both"/>
        <w:rPr>
          <w:rFonts w:ascii="gobCL" w:hAnsi="gobCL"/>
          <w:b/>
          <w:color w:val="365F91" w:themeColor="accent1" w:themeShade="BF"/>
        </w:rPr>
      </w:pPr>
      <w:r w:rsidRPr="00086EB3">
        <w:rPr>
          <w:rFonts w:ascii="gobCL" w:hAnsi="gobCL"/>
          <w:b/>
          <w:color w:val="365F91" w:themeColor="accent1" w:themeShade="BF"/>
        </w:rPr>
        <w:t xml:space="preserve">Dirigirse al siguiente enlace: </w:t>
      </w:r>
      <w:hyperlink r:id="rId10" w:history="1">
        <w:r w:rsidR="009C0089" w:rsidRPr="00D93473">
          <w:rPr>
            <w:rStyle w:val="Hipervnculo"/>
            <w:rFonts w:ascii="gobCL" w:hAnsi="gobCL"/>
            <w:b/>
          </w:rPr>
          <w:t>http://www.subpesca.cl/portal/616/w3-article-102383.html</w:t>
        </w:r>
      </w:hyperlink>
    </w:p>
    <w:p w:rsidR="001216D1" w:rsidRDefault="00AA61AA" w:rsidP="004144ED">
      <w:pPr>
        <w:pStyle w:val="Prrafodelista"/>
        <w:numPr>
          <w:ilvl w:val="0"/>
          <w:numId w:val="1"/>
        </w:numPr>
        <w:jc w:val="both"/>
        <w:rPr>
          <w:rFonts w:ascii="gobCL" w:hAnsi="gobCL"/>
        </w:rPr>
      </w:pPr>
      <w:r w:rsidRPr="004144ED">
        <w:rPr>
          <w:rFonts w:ascii="gobCL" w:hAnsi="gobCL"/>
        </w:rPr>
        <w:t>Ídem para presenta oferta desempate.</w:t>
      </w:r>
    </w:p>
    <w:p w:rsidR="004144ED" w:rsidRPr="004144ED" w:rsidRDefault="004144ED" w:rsidP="004144ED">
      <w:pPr>
        <w:pStyle w:val="Prrafodelista"/>
        <w:jc w:val="both"/>
        <w:rPr>
          <w:rFonts w:ascii="gobCL" w:hAnsi="gobCL"/>
        </w:rPr>
      </w:pPr>
    </w:p>
    <w:p w:rsidR="00D30683" w:rsidRDefault="00567C73" w:rsidP="004144ED">
      <w:pPr>
        <w:ind w:firstLine="708"/>
        <w:jc w:val="both"/>
        <w:rPr>
          <w:rFonts w:ascii="gobCL" w:hAnsi="gobCL"/>
          <w:b/>
          <w:color w:val="365F91" w:themeColor="accent1" w:themeShade="BF"/>
        </w:rPr>
      </w:pPr>
      <w:r w:rsidRPr="00086EB3">
        <w:rPr>
          <w:rFonts w:ascii="gobCL" w:hAnsi="gobCL"/>
          <w:b/>
          <w:color w:val="365F91" w:themeColor="accent1" w:themeShade="BF"/>
        </w:rPr>
        <w:t>Remitirse a r</w:t>
      </w:r>
      <w:r w:rsidR="0093750D" w:rsidRPr="00086EB3">
        <w:rPr>
          <w:rFonts w:ascii="gobCL" w:hAnsi="gobCL"/>
          <w:b/>
          <w:color w:val="365F91" w:themeColor="accent1" w:themeShade="BF"/>
        </w:rPr>
        <w:t xml:space="preserve">espuesta </w:t>
      </w:r>
      <w:r w:rsidR="0048366B" w:rsidRPr="00086EB3">
        <w:rPr>
          <w:rFonts w:ascii="gobCL" w:hAnsi="gobCL"/>
          <w:b/>
          <w:color w:val="365F91" w:themeColor="accent1" w:themeShade="BF"/>
        </w:rPr>
        <w:t>anterior</w:t>
      </w:r>
      <w:r w:rsidR="00B36A60" w:rsidRPr="00086EB3">
        <w:rPr>
          <w:rFonts w:ascii="gobCL" w:hAnsi="gobCL"/>
          <w:b/>
          <w:color w:val="365F91" w:themeColor="accent1" w:themeShade="BF"/>
        </w:rPr>
        <w:t>.</w:t>
      </w:r>
    </w:p>
    <w:p w:rsidR="00E36454" w:rsidRPr="00086EB3" w:rsidRDefault="00E36454" w:rsidP="004144ED">
      <w:pPr>
        <w:ind w:firstLine="708"/>
        <w:jc w:val="both"/>
        <w:rPr>
          <w:rFonts w:ascii="gobCL" w:hAnsi="gobCL"/>
          <w:b/>
          <w:color w:val="365F91" w:themeColor="accent1" w:themeShade="BF"/>
        </w:rPr>
      </w:pPr>
    </w:p>
    <w:p w:rsidR="00AA61AA" w:rsidRDefault="00D47F20" w:rsidP="004144ED">
      <w:pPr>
        <w:pStyle w:val="Prrafodelista"/>
        <w:numPr>
          <w:ilvl w:val="0"/>
          <w:numId w:val="1"/>
        </w:numPr>
        <w:jc w:val="both"/>
        <w:rPr>
          <w:rFonts w:ascii="gobCL" w:hAnsi="gobCL"/>
        </w:rPr>
      </w:pPr>
      <w:r w:rsidRPr="004144ED">
        <w:rPr>
          <w:rFonts w:ascii="gobCL" w:hAnsi="gobCL"/>
        </w:rPr>
        <w:t xml:space="preserve">La Garantía de seriedad de la oferta ¿Es una por cada oferta de lote a subastar o puede ser una sola por el total </w:t>
      </w:r>
      <w:r w:rsidR="00682E58" w:rsidRPr="004144ED">
        <w:rPr>
          <w:rFonts w:ascii="gobCL" w:hAnsi="gobCL"/>
        </w:rPr>
        <w:t>de los lotes</w:t>
      </w:r>
      <w:r w:rsidRPr="004144ED">
        <w:rPr>
          <w:rFonts w:ascii="gobCL" w:hAnsi="gobCL"/>
        </w:rPr>
        <w:t xml:space="preserve"> en que uno esté interesado a subastar?</w:t>
      </w:r>
    </w:p>
    <w:p w:rsidR="004144ED" w:rsidRPr="004144ED" w:rsidRDefault="004144ED" w:rsidP="004144ED">
      <w:pPr>
        <w:pStyle w:val="Prrafodelista"/>
        <w:jc w:val="both"/>
        <w:rPr>
          <w:rFonts w:ascii="gobCL" w:hAnsi="gobCL"/>
        </w:rPr>
      </w:pPr>
    </w:p>
    <w:p w:rsidR="00354467" w:rsidRPr="00086EB3" w:rsidRDefault="00D93060" w:rsidP="004144ED">
      <w:pPr>
        <w:spacing w:after="0" w:line="240" w:lineRule="auto"/>
        <w:ind w:left="708"/>
        <w:jc w:val="both"/>
        <w:rPr>
          <w:rFonts w:ascii="gobCL" w:hAnsi="gobCL" w:cs="Arial"/>
          <w:b/>
          <w:color w:val="365F91" w:themeColor="accent1" w:themeShade="BF"/>
        </w:rPr>
      </w:pPr>
      <w:r w:rsidRPr="00086EB3">
        <w:rPr>
          <w:rFonts w:ascii="gobCL" w:hAnsi="gobCL" w:cs="Arial"/>
          <w:b/>
          <w:color w:val="365F91" w:themeColor="accent1" w:themeShade="BF"/>
        </w:rPr>
        <w:t xml:space="preserve">El Reglamento de Permisos Extraordinarios de Pesca y las Bases, no distinguen, por lo tanto, </w:t>
      </w:r>
      <w:r w:rsidR="0048366B" w:rsidRPr="00086EB3">
        <w:rPr>
          <w:rFonts w:ascii="gobCL" w:hAnsi="gobCL" w:cs="Arial"/>
          <w:b/>
          <w:color w:val="365F91" w:themeColor="accent1" w:themeShade="BF"/>
        </w:rPr>
        <w:t>s</w:t>
      </w:r>
      <w:r w:rsidR="002435D0" w:rsidRPr="00086EB3">
        <w:rPr>
          <w:rFonts w:ascii="gobCL" w:hAnsi="gobCL" w:cs="Arial"/>
          <w:b/>
          <w:color w:val="365F91" w:themeColor="accent1" w:themeShade="BF"/>
        </w:rPr>
        <w:t xml:space="preserve">e puede acompañar </w:t>
      </w:r>
      <w:r w:rsidR="0024037D" w:rsidRPr="00086EB3">
        <w:rPr>
          <w:rFonts w:ascii="gobCL" w:hAnsi="gobCL" w:cs="Arial"/>
          <w:b/>
          <w:color w:val="365F91" w:themeColor="accent1" w:themeShade="BF"/>
        </w:rPr>
        <w:t xml:space="preserve">una </w:t>
      </w:r>
      <w:r w:rsidR="002435D0" w:rsidRPr="00086EB3">
        <w:rPr>
          <w:rFonts w:ascii="gobCL" w:hAnsi="gobCL" w:cs="Arial"/>
          <w:b/>
          <w:color w:val="365F91" w:themeColor="accent1" w:themeShade="BF"/>
        </w:rPr>
        <w:t xml:space="preserve">garantía por el total de las ofertas a efectuar. </w:t>
      </w:r>
    </w:p>
    <w:p w:rsidR="00D93060" w:rsidRPr="00086EB3" w:rsidRDefault="00D93060" w:rsidP="004144ED">
      <w:pPr>
        <w:spacing w:after="0" w:line="240" w:lineRule="auto"/>
        <w:ind w:left="708"/>
        <w:jc w:val="both"/>
        <w:rPr>
          <w:rFonts w:ascii="gobCL" w:hAnsi="gobCL" w:cs="Arial"/>
          <w:b/>
          <w:color w:val="365F91" w:themeColor="accent1" w:themeShade="BF"/>
        </w:rPr>
      </w:pPr>
    </w:p>
    <w:p w:rsidR="002435D0" w:rsidRDefault="002435D0" w:rsidP="004144ED">
      <w:pPr>
        <w:spacing w:after="0" w:line="240" w:lineRule="auto"/>
        <w:ind w:left="708"/>
        <w:jc w:val="both"/>
        <w:rPr>
          <w:rFonts w:ascii="gobCL" w:hAnsi="gobCL"/>
          <w:b/>
          <w:color w:val="365F91" w:themeColor="accent1" w:themeShade="BF"/>
        </w:rPr>
      </w:pPr>
      <w:r w:rsidRPr="00086EB3">
        <w:rPr>
          <w:rFonts w:ascii="gobCL" w:hAnsi="gobCL" w:cs="Arial"/>
          <w:b/>
          <w:color w:val="365F91" w:themeColor="accent1" w:themeShade="BF"/>
        </w:rPr>
        <w:t xml:space="preserve">No obstante lo anterior, </w:t>
      </w:r>
      <w:r w:rsidRPr="00086EB3">
        <w:rPr>
          <w:rFonts w:ascii="gobCL" w:hAnsi="gobCL" w:cs="Arial"/>
          <w:b/>
          <w:color w:val="365F91" w:themeColor="accent1" w:themeShade="BF"/>
          <w:u w:val="single"/>
        </w:rPr>
        <w:t>se aconseja presentar una garantía por lote</w:t>
      </w:r>
      <w:r w:rsidRPr="00086EB3">
        <w:rPr>
          <w:rFonts w:ascii="gobCL" w:hAnsi="gobCL" w:cs="Arial"/>
          <w:b/>
          <w:color w:val="365F91" w:themeColor="accent1" w:themeShade="BF"/>
        </w:rPr>
        <w:t xml:space="preserve">, </w:t>
      </w:r>
      <w:r w:rsidRPr="00086EB3">
        <w:rPr>
          <w:rFonts w:ascii="gobCL" w:hAnsi="gobCL" w:cs="Times New Roman"/>
          <w:b/>
          <w:color w:val="365F91" w:themeColor="accent1" w:themeShade="BF"/>
        </w:rPr>
        <w:t xml:space="preserve">en razón a que </w:t>
      </w:r>
      <w:r w:rsidRPr="00086EB3">
        <w:rPr>
          <w:rFonts w:ascii="gobCL" w:hAnsi="gobCL"/>
          <w:b/>
          <w:color w:val="365F91" w:themeColor="accent1" w:themeShade="BF"/>
        </w:rPr>
        <w:t>si se adjudica un lote, la devolución de la garantía solo se hará efectiva con el respectivo comprobante de pago</w:t>
      </w:r>
      <w:r w:rsidR="00D93060" w:rsidRPr="00086EB3">
        <w:rPr>
          <w:rFonts w:ascii="gobCL" w:hAnsi="gobCL"/>
          <w:b/>
          <w:color w:val="365F91" w:themeColor="accent1" w:themeShade="BF"/>
        </w:rPr>
        <w:t>,</w:t>
      </w:r>
      <w:r w:rsidRPr="00086EB3">
        <w:rPr>
          <w:rFonts w:ascii="gobCL" w:hAnsi="gobCL"/>
          <w:b/>
          <w:color w:val="365F91" w:themeColor="accent1" w:themeShade="BF"/>
        </w:rPr>
        <w:t xml:space="preserve">  y</w:t>
      </w:r>
      <w:r w:rsidR="009C0089" w:rsidRPr="00086EB3">
        <w:rPr>
          <w:rFonts w:ascii="gobCL" w:hAnsi="gobCL"/>
          <w:b/>
          <w:color w:val="365F91" w:themeColor="accent1" w:themeShade="BF"/>
        </w:rPr>
        <w:t xml:space="preserve">a que </w:t>
      </w:r>
      <w:r w:rsidRPr="00086EB3">
        <w:rPr>
          <w:rFonts w:ascii="gobCL" w:hAnsi="gobCL"/>
          <w:b/>
          <w:color w:val="365F91" w:themeColor="accent1" w:themeShade="BF"/>
        </w:rPr>
        <w:t>no se puede devolver una fracción de la misma.</w:t>
      </w:r>
    </w:p>
    <w:p w:rsidR="00E36454" w:rsidRPr="00086EB3" w:rsidRDefault="00E36454" w:rsidP="004144ED">
      <w:pPr>
        <w:spacing w:after="0" w:line="240" w:lineRule="auto"/>
        <w:ind w:left="708"/>
        <w:jc w:val="both"/>
        <w:rPr>
          <w:rFonts w:ascii="gobCL" w:hAnsi="gobCL"/>
          <w:b/>
          <w:color w:val="365F91" w:themeColor="accent1" w:themeShade="BF"/>
        </w:rPr>
      </w:pPr>
    </w:p>
    <w:p w:rsidR="009C0089" w:rsidRPr="0024037D" w:rsidRDefault="009C0089" w:rsidP="004144ED">
      <w:pPr>
        <w:spacing w:after="0" w:line="240" w:lineRule="auto"/>
        <w:ind w:left="708"/>
        <w:jc w:val="both"/>
        <w:rPr>
          <w:rFonts w:ascii="gobCL" w:hAnsi="gobCL"/>
          <w:b/>
          <w:color w:val="1F497D" w:themeColor="text2"/>
        </w:rPr>
      </w:pPr>
    </w:p>
    <w:p w:rsidR="00E36454" w:rsidRDefault="00E36454" w:rsidP="00E36454">
      <w:pPr>
        <w:pStyle w:val="Prrafodelista"/>
        <w:jc w:val="both"/>
        <w:rPr>
          <w:rFonts w:ascii="gobCL" w:hAnsi="gobCL"/>
        </w:rPr>
      </w:pPr>
    </w:p>
    <w:p w:rsidR="00D47F20" w:rsidRDefault="00682E58" w:rsidP="004144ED">
      <w:pPr>
        <w:pStyle w:val="Prrafodelista"/>
        <w:numPr>
          <w:ilvl w:val="0"/>
          <w:numId w:val="1"/>
        </w:numPr>
        <w:jc w:val="both"/>
        <w:rPr>
          <w:rFonts w:ascii="gobCL" w:hAnsi="gobCL"/>
        </w:rPr>
      </w:pPr>
      <w:bookmarkStart w:id="0" w:name="_GoBack"/>
      <w:bookmarkEnd w:id="0"/>
      <w:r w:rsidRPr="004144ED">
        <w:rPr>
          <w:rFonts w:ascii="gobCL" w:hAnsi="gobCL"/>
        </w:rPr>
        <w:t xml:space="preserve">¿Cuál es el plazo para la devolución de las garantías, en </w:t>
      </w:r>
      <w:r w:rsidR="004144ED">
        <w:rPr>
          <w:rFonts w:ascii="gobCL" w:hAnsi="gobCL"/>
        </w:rPr>
        <w:t>caso de no adjudicarse un lote? ¿Y</w:t>
      </w:r>
      <w:r w:rsidR="004F32C9" w:rsidRPr="004144ED">
        <w:rPr>
          <w:rFonts w:ascii="gobCL" w:hAnsi="gobCL"/>
        </w:rPr>
        <w:t xml:space="preserve"> cuál es el plazo de devolución de la garantía</w:t>
      </w:r>
      <w:r w:rsidR="004144ED">
        <w:rPr>
          <w:rFonts w:ascii="gobCL" w:hAnsi="gobCL"/>
        </w:rPr>
        <w:t>,</w:t>
      </w:r>
      <w:r w:rsidR="004F32C9" w:rsidRPr="004144ED">
        <w:rPr>
          <w:rFonts w:ascii="gobCL" w:hAnsi="gobCL"/>
        </w:rPr>
        <w:t xml:space="preserve"> para el que se adjudique un lote?</w:t>
      </w:r>
    </w:p>
    <w:p w:rsidR="004144ED" w:rsidRPr="004144ED" w:rsidRDefault="004144ED" w:rsidP="004144ED">
      <w:pPr>
        <w:pStyle w:val="Prrafodelista"/>
        <w:jc w:val="both"/>
        <w:rPr>
          <w:rFonts w:ascii="gobCL" w:hAnsi="gobCL"/>
        </w:rPr>
      </w:pPr>
    </w:p>
    <w:p w:rsidR="002435D0" w:rsidRPr="00086EB3" w:rsidRDefault="00B36A60" w:rsidP="004144ED">
      <w:pPr>
        <w:ind w:left="708"/>
        <w:jc w:val="both"/>
        <w:rPr>
          <w:rFonts w:ascii="gobCL" w:hAnsi="gobCL"/>
          <w:b/>
          <w:color w:val="365F91" w:themeColor="accent1" w:themeShade="BF"/>
        </w:rPr>
      </w:pPr>
      <w:r w:rsidRPr="00086EB3">
        <w:rPr>
          <w:rFonts w:ascii="gobCL" w:hAnsi="gobCL"/>
          <w:b/>
          <w:color w:val="365F91" w:themeColor="accent1" w:themeShade="BF"/>
        </w:rPr>
        <w:t>P</w:t>
      </w:r>
      <w:r w:rsidR="002435D0" w:rsidRPr="00086EB3">
        <w:rPr>
          <w:rFonts w:ascii="gobCL" w:hAnsi="gobCL"/>
          <w:b/>
          <w:color w:val="365F91" w:themeColor="accent1" w:themeShade="BF"/>
        </w:rPr>
        <w:t xml:space="preserve">ara aquellos que </w:t>
      </w:r>
      <w:r w:rsidR="002435D0" w:rsidRPr="00086EB3">
        <w:rPr>
          <w:rFonts w:ascii="gobCL" w:hAnsi="gobCL"/>
          <w:b/>
          <w:color w:val="365F91" w:themeColor="accent1" w:themeShade="BF"/>
          <w:u w:val="single"/>
        </w:rPr>
        <w:t>no se adjudiquen</w:t>
      </w:r>
      <w:r w:rsidR="002435D0" w:rsidRPr="00086EB3">
        <w:rPr>
          <w:rFonts w:ascii="gobCL" w:hAnsi="gobCL"/>
          <w:b/>
          <w:color w:val="365F91" w:themeColor="accent1" w:themeShade="BF"/>
        </w:rPr>
        <w:t xml:space="preserve"> lotes</w:t>
      </w:r>
      <w:r w:rsidRPr="00086EB3">
        <w:rPr>
          <w:rFonts w:ascii="gobCL" w:hAnsi="gobCL"/>
          <w:b/>
          <w:color w:val="365F91" w:themeColor="accent1" w:themeShade="BF"/>
        </w:rPr>
        <w:t xml:space="preserve">, la devolución de las garantías de seriedad de la oferta </w:t>
      </w:r>
      <w:r w:rsidR="002435D0" w:rsidRPr="00086EB3">
        <w:rPr>
          <w:rFonts w:ascii="gobCL" w:hAnsi="gobCL"/>
          <w:b/>
          <w:color w:val="365F91" w:themeColor="accent1" w:themeShade="BF"/>
        </w:rPr>
        <w:t xml:space="preserve">se </w:t>
      </w:r>
      <w:r w:rsidR="00C524CA" w:rsidRPr="00086EB3">
        <w:rPr>
          <w:rFonts w:ascii="gobCL" w:hAnsi="gobCL"/>
          <w:b/>
          <w:color w:val="365F91" w:themeColor="accent1" w:themeShade="BF"/>
        </w:rPr>
        <w:t>realizará</w:t>
      </w:r>
      <w:r w:rsidR="002435D0" w:rsidRPr="00086EB3">
        <w:rPr>
          <w:rFonts w:ascii="gobCL" w:hAnsi="gobCL"/>
          <w:b/>
          <w:color w:val="365F91" w:themeColor="accent1" w:themeShade="BF"/>
        </w:rPr>
        <w:t xml:space="preserve"> durante el día</w:t>
      </w:r>
      <w:r w:rsidR="00C524CA" w:rsidRPr="00086EB3">
        <w:rPr>
          <w:rFonts w:ascii="gobCL" w:hAnsi="gobCL"/>
          <w:b/>
          <w:color w:val="365F91" w:themeColor="accent1" w:themeShade="BF"/>
        </w:rPr>
        <w:t xml:space="preserve">, después de efectuada la </w:t>
      </w:r>
      <w:r w:rsidR="0048366B" w:rsidRPr="00086EB3">
        <w:rPr>
          <w:rFonts w:ascii="gobCL" w:hAnsi="gobCL"/>
          <w:b/>
          <w:color w:val="365F91" w:themeColor="accent1" w:themeShade="BF"/>
        </w:rPr>
        <w:t>subasta o al día siguiente hábil.</w:t>
      </w:r>
    </w:p>
    <w:p w:rsidR="002435D0" w:rsidRDefault="002435D0" w:rsidP="004144ED">
      <w:pPr>
        <w:ind w:left="708"/>
        <w:jc w:val="both"/>
        <w:rPr>
          <w:rFonts w:ascii="gobCL" w:hAnsi="gobCL"/>
          <w:b/>
          <w:color w:val="365F91" w:themeColor="accent1" w:themeShade="BF"/>
        </w:rPr>
      </w:pPr>
      <w:r w:rsidRPr="00086EB3">
        <w:rPr>
          <w:rFonts w:ascii="gobCL" w:hAnsi="gobCL"/>
          <w:b/>
          <w:color w:val="365F91" w:themeColor="accent1" w:themeShade="BF"/>
        </w:rPr>
        <w:t xml:space="preserve">Respecto de quienes se adjudicaron lotes, se </w:t>
      </w:r>
      <w:r w:rsidR="00B36A60" w:rsidRPr="00086EB3">
        <w:rPr>
          <w:rFonts w:ascii="gobCL" w:hAnsi="gobCL"/>
          <w:b/>
          <w:color w:val="365F91" w:themeColor="accent1" w:themeShade="BF"/>
        </w:rPr>
        <w:t>restituirá la garantía de seriedad de la oferta una vez que se reciba</w:t>
      </w:r>
      <w:r w:rsidR="00C524CA" w:rsidRPr="00086EB3">
        <w:rPr>
          <w:rFonts w:ascii="gobCL" w:hAnsi="gobCL"/>
          <w:b/>
          <w:color w:val="365F91" w:themeColor="accent1" w:themeShade="BF"/>
        </w:rPr>
        <w:t>,</w:t>
      </w:r>
      <w:r w:rsidR="00B36A60" w:rsidRPr="00086EB3">
        <w:rPr>
          <w:rFonts w:ascii="gobCL" w:hAnsi="gobCL"/>
          <w:b/>
          <w:color w:val="365F91" w:themeColor="accent1" w:themeShade="BF"/>
        </w:rPr>
        <w:t xml:space="preserve"> </w:t>
      </w:r>
      <w:r w:rsidR="005A4A5C" w:rsidRPr="00086EB3">
        <w:rPr>
          <w:rFonts w:ascii="gobCL" w:hAnsi="gobCL"/>
          <w:b/>
          <w:color w:val="365F91" w:themeColor="accent1" w:themeShade="BF"/>
        </w:rPr>
        <w:t xml:space="preserve">por parte de la </w:t>
      </w:r>
      <w:r w:rsidR="00B36A60" w:rsidRPr="00086EB3">
        <w:rPr>
          <w:rFonts w:ascii="gobCL" w:hAnsi="gobCL"/>
          <w:b/>
          <w:color w:val="365F91" w:themeColor="accent1" w:themeShade="BF"/>
        </w:rPr>
        <w:t>Subsecretaria</w:t>
      </w:r>
      <w:r w:rsidR="00C524CA" w:rsidRPr="00086EB3">
        <w:rPr>
          <w:rFonts w:ascii="gobCL" w:hAnsi="gobCL"/>
          <w:b/>
          <w:color w:val="365F91" w:themeColor="accent1" w:themeShade="BF"/>
        </w:rPr>
        <w:t>, el</w:t>
      </w:r>
      <w:r w:rsidR="00B36A60" w:rsidRPr="00086EB3">
        <w:rPr>
          <w:rFonts w:ascii="gobCL" w:hAnsi="gobCL"/>
          <w:b/>
          <w:color w:val="365F91" w:themeColor="accent1" w:themeShade="BF"/>
        </w:rPr>
        <w:t xml:space="preserve"> comprobante de pago de la primera anualidad, pago que debe efectuarse dent</w:t>
      </w:r>
      <w:r w:rsidR="00C524CA" w:rsidRPr="00086EB3">
        <w:rPr>
          <w:rFonts w:ascii="gobCL" w:hAnsi="gobCL"/>
          <w:b/>
          <w:color w:val="365F91" w:themeColor="accent1" w:themeShade="BF"/>
        </w:rPr>
        <w:t>r</w:t>
      </w:r>
      <w:r w:rsidR="00B36A60" w:rsidRPr="00086EB3">
        <w:rPr>
          <w:rFonts w:ascii="gobCL" w:hAnsi="gobCL"/>
          <w:b/>
          <w:color w:val="365F91" w:themeColor="accent1" w:themeShade="BF"/>
        </w:rPr>
        <w:t>o</w:t>
      </w:r>
      <w:r w:rsidRPr="00086EB3">
        <w:rPr>
          <w:rFonts w:ascii="gobCL" w:hAnsi="gobCL"/>
          <w:b/>
          <w:color w:val="365F91" w:themeColor="accent1" w:themeShade="BF"/>
        </w:rPr>
        <w:t xml:space="preserve"> </w:t>
      </w:r>
      <w:r w:rsidR="00B36A60" w:rsidRPr="00086EB3">
        <w:rPr>
          <w:rFonts w:ascii="gobCL" w:hAnsi="gobCL"/>
          <w:b/>
          <w:color w:val="365F91" w:themeColor="accent1" w:themeShade="BF"/>
        </w:rPr>
        <w:t xml:space="preserve">de los cinco días hábiles siguientes al día de la adjudicación. </w:t>
      </w:r>
      <w:r w:rsidR="009C0089" w:rsidRPr="00086EB3">
        <w:rPr>
          <w:rFonts w:ascii="gobCL" w:hAnsi="gobCL"/>
          <w:b/>
          <w:color w:val="365F91" w:themeColor="accent1" w:themeShade="BF"/>
        </w:rPr>
        <w:t xml:space="preserve"> En este caso, la devolución de la garantía se realizará el mismo día o al día hábil siguiente.</w:t>
      </w:r>
    </w:p>
    <w:p w:rsidR="00E36454" w:rsidRPr="00086EB3" w:rsidRDefault="00E36454" w:rsidP="004144ED">
      <w:pPr>
        <w:ind w:left="708"/>
        <w:jc w:val="both"/>
        <w:rPr>
          <w:rFonts w:ascii="gobCL" w:hAnsi="gobCL"/>
          <w:b/>
          <w:color w:val="365F91" w:themeColor="accent1" w:themeShade="BF"/>
        </w:rPr>
      </w:pPr>
    </w:p>
    <w:p w:rsidR="004F32C9" w:rsidRDefault="0093750D" w:rsidP="004144ED">
      <w:pPr>
        <w:pStyle w:val="Prrafodelista"/>
        <w:numPr>
          <w:ilvl w:val="0"/>
          <w:numId w:val="1"/>
        </w:numPr>
        <w:jc w:val="both"/>
        <w:rPr>
          <w:rFonts w:ascii="gobCL" w:hAnsi="gobCL"/>
        </w:rPr>
      </w:pPr>
      <w:r>
        <w:rPr>
          <w:rFonts w:ascii="gobCL" w:hAnsi="gobCL"/>
        </w:rPr>
        <w:t>En el nú</w:t>
      </w:r>
      <w:r w:rsidR="001E1850" w:rsidRPr="004144ED">
        <w:rPr>
          <w:rFonts w:ascii="gobCL" w:hAnsi="gobCL"/>
        </w:rPr>
        <w:t>mero 17 de las presentes bases. Se indica que las ofertas que se presenten no pueden ser inferior al precio mínimo fijados por ley ¿puede usted indicar el precio mínimo que indica la ley y</w:t>
      </w:r>
      <w:r w:rsidR="000C1C2B" w:rsidRPr="004144ED">
        <w:rPr>
          <w:rFonts w:ascii="gobCL" w:hAnsi="gobCL"/>
        </w:rPr>
        <w:t xml:space="preserve">/o </w:t>
      </w:r>
      <w:r w:rsidR="001E1850" w:rsidRPr="004144ED">
        <w:rPr>
          <w:rFonts w:ascii="gobCL" w:hAnsi="gobCL"/>
        </w:rPr>
        <w:t xml:space="preserve"> que ley indica el precio mínimo?</w:t>
      </w:r>
    </w:p>
    <w:p w:rsidR="004144ED" w:rsidRPr="004144ED" w:rsidRDefault="004144ED" w:rsidP="004144ED">
      <w:pPr>
        <w:pStyle w:val="Prrafodelista"/>
        <w:jc w:val="both"/>
        <w:rPr>
          <w:rFonts w:ascii="gobCL" w:hAnsi="gobCL"/>
        </w:rPr>
      </w:pPr>
    </w:p>
    <w:p w:rsidR="000D5B9C" w:rsidRPr="00086EB3" w:rsidRDefault="00354467" w:rsidP="00C96046">
      <w:pPr>
        <w:ind w:left="708"/>
        <w:jc w:val="both"/>
        <w:rPr>
          <w:color w:val="365F91" w:themeColor="accent1" w:themeShade="BF"/>
        </w:rPr>
      </w:pPr>
      <w:r w:rsidRPr="00086EB3">
        <w:rPr>
          <w:rFonts w:ascii="gobCL" w:hAnsi="gobCL"/>
          <w:b/>
          <w:color w:val="365F91" w:themeColor="accent1" w:themeShade="BF"/>
        </w:rPr>
        <w:t>El precio mínimo será conocido por los oferentes el día de la subasta, atendido lo dispuesto en e</w:t>
      </w:r>
      <w:r w:rsidR="0024037D" w:rsidRPr="00086EB3">
        <w:rPr>
          <w:rFonts w:ascii="gobCL" w:hAnsi="gobCL"/>
          <w:b/>
          <w:color w:val="365F91" w:themeColor="accent1" w:themeShade="BF"/>
        </w:rPr>
        <w:t>l artículo 12 del Reglamento</w:t>
      </w:r>
      <w:r w:rsidRPr="00086EB3">
        <w:rPr>
          <w:rFonts w:ascii="gobCL" w:hAnsi="gobCL"/>
          <w:b/>
          <w:color w:val="365F91" w:themeColor="accent1" w:themeShade="BF"/>
        </w:rPr>
        <w:t xml:space="preserve"> de Subasta de Permisos Extraordinario de Pesca, que</w:t>
      </w:r>
      <w:r w:rsidR="0024037D" w:rsidRPr="00086EB3">
        <w:rPr>
          <w:rFonts w:ascii="gobCL" w:hAnsi="gobCL"/>
          <w:b/>
          <w:color w:val="365F91" w:themeColor="accent1" w:themeShade="BF"/>
        </w:rPr>
        <w:t xml:space="preserve"> indica </w:t>
      </w:r>
      <w:r w:rsidR="0024037D" w:rsidRPr="00086EB3">
        <w:rPr>
          <w:rFonts w:ascii="gobCL" w:hAnsi="gobCL"/>
          <w:b/>
          <w:i/>
          <w:color w:val="365F91" w:themeColor="accent1" w:themeShade="BF"/>
        </w:rPr>
        <w:t>“Antes de la apertura de las ofertas económicas, la Comisión abrirá el sobre cerrado que contiene el precio mínimo de cada uno de los lotes que se subastarán, el que será entregado por el Subsecretario a la comisión al inicio del acto de la subasta</w:t>
      </w:r>
      <w:r w:rsidRPr="00086EB3">
        <w:rPr>
          <w:rFonts w:ascii="gobCL" w:hAnsi="gobCL"/>
          <w:b/>
          <w:i/>
          <w:color w:val="365F91" w:themeColor="accent1" w:themeShade="BF"/>
        </w:rPr>
        <w:t>”</w:t>
      </w:r>
      <w:r w:rsidR="005B0AE1" w:rsidRPr="00086EB3">
        <w:rPr>
          <w:color w:val="365F91" w:themeColor="accent1" w:themeShade="BF"/>
        </w:rPr>
        <w:tab/>
      </w:r>
    </w:p>
    <w:sectPr w:rsidR="000D5B9C" w:rsidRPr="00086EB3" w:rsidSect="00E36454">
      <w:headerReference w:type="default" r:id="rId11"/>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B3" w:rsidRDefault="00086EB3" w:rsidP="005B0AE1">
      <w:pPr>
        <w:spacing w:after="0" w:line="240" w:lineRule="auto"/>
      </w:pPr>
      <w:r>
        <w:separator/>
      </w:r>
    </w:p>
  </w:endnote>
  <w:endnote w:type="continuationSeparator" w:id="0">
    <w:p w:rsidR="00086EB3" w:rsidRDefault="00086EB3" w:rsidP="005B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B3" w:rsidRDefault="00086EB3" w:rsidP="005B0AE1">
      <w:pPr>
        <w:spacing w:after="0" w:line="240" w:lineRule="auto"/>
      </w:pPr>
      <w:r>
        <w:separator/>
      </w:r>
    </w:p>
  </w:footnote>
  <w:footnote w:type="continuationSeparator" w:id="0">
    <w:p w:rsidR="00086EB3" w:rsidRDefault="00086EB3" w:rsidP="005B0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B3" w:rsidRDefault="00086EB3">
    <w:pPr>
      <w:pStyle w:val="Encabezado"/>
    </w:pPr>
    <w:r>
      <w:rPr>
        <w:noProof/>
      </w:rPr>
      <w:drawing>
        <wp:anchor distT="0" distB="0" distL="114300" distR="114300" simplePos="0" relativeHeight="251659264" behindDoc="1" locked="0" layoutInCell="1" allowOverlap="1" wp14:anchorId="1EADCDCF" wp14:editId="0CBD5126">
          <wp:simplePos x="0" y="0"/>
          <wp:positionH relativeFrom="column">
            <wp:posOffset>-678815</wp:posOffset>
          </wp:positionH>
          <wp:positionV relativeFrom="paragraph">
            <wp:posOffset>-236220</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36249"/>
    <w:multiLevelType w:val="hybridMultilevel"/>
    <w:tmpl w:val="ED66F89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54"/>
    <w:rsid w:val="00047048"/>
    <w:rsid w:val="00086EB3"/>
    <w:rsid w:val="000B6B41"/>
    <w:rsid w:val="000C1C2B"/>
    <w:rsid w:val="000D5B9C"/>
    <w:rsid w:val="001216D1"/>
    <w:rsid w:val="001E1850"/>
    <w:rsid w:val="0024037D"/>
    <w:rsid w:val="002435D0"/>
    <w:rsid w:val="00354467"/>
    <w:rsid w:val="004144ED"/>
    <w:rsid w:val="004802F5"/>
    <w:rsid w:val="0048366B"/>
    <w:rsid w:val="004F32C9"/>
    <w:rsid w:val="0052735E"/>
    <w:rsid w:val="00532CA8"/>
    <w:rsid w:val="00567C73"/>
    <w:rsid w:val="005A4A5C"/>
    <w:rsid w:val="005B0AE1"/>
    <w:rsid w:val="005D5291"/>
    <w:rsid w:val="00682E58"/>
    <w:rsid w:val="007D7156"/>
    <w:rsid w:val="008445CF"/>
    <w:rsid w:val="00853254"/>
    <w:rsid w:val="008620A0"/>
    <w:rsid w:val="008A7393"/>
    <w:rsid w:val="008C158A"/>
    <w:rsid w:val="00921951"/>
    <w:rsid w:val="0093750D"/>
    <w:rsid w:val="009C0089"/>
    <w:rsid w:val="00AA61AA"/>
    <w:rsid w:val="00AB752D"/>
    <w:rsid w:val="00B36A60"/>
    <w:rsid w:val="00C40FC4"/>
    <w:rsid w:val="00C50F02"/>
    <w:rsid w:val="00C524CA"/>
    <w:rsid w:val="00C93D5F"/>
    <w:rsid w:val="00C96046"/>
    <w:rsid w:val="00CA61EC"/>
    <w:rsid w:val="00D30683"/>
    <w:rsid w:val="00D47F20"/>
    <w:rsid w:val="00D93060"/>
    <w:rsid w:val="00DE4BB3"/>
    <w:rsid w:val="00E36454"/>
    <w:rsid w:val="00F52A2D"/>
    <w:rsid w:val="00FF09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AE1"/>
  </w:style>
  <w:style w:type="paragraph" w:styleId="Piedepgina">
    <w:name w:val="footer"/>
    <w:basedOn w:val="Normal"/>
    <w:link w:val="PiedepginaCar"/>
    <w:uiPriority w:val="99"/>
    <w:unhideWhenUsed/>
    <w:rsid w:val="005B0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AE1"/>
  </w:style>
  <w:style w:type="paragraph" w:styleId="Sinespaciado">
    <w:name w:val="No Spacing"/>
    <w:uiPriority w:val="1"/>
    <w:qFormat/>
    <w:rsid w:val="00921951"/>
    <w:pPr>
      <w:spacing w:after="0" w:line="240" w:lineRule="auto"/>
    </w:pPr>
  </w:style>
  <w:style w:type="character" w:styleId="Hipervnculo">
    <w:name w:val="Hyperlink"/>
    <w:basedOn w:val="Fuentedeprrafopredeter"/>
    <w:uiPriority w:val="99"/>
    <w:unhideWhenUsed/>
    <w:rsid w:val="004144ED"/>
    <w:rPr>
      <w:color w:val="0000FF" w:themeColor="hyperlink"/>
      <w:u w:val="single"/>
    </w:rPr>
  </w:style>
  <w:style w:type="paragraph" w:styleId="Prrafodelista">
    <w:name w:val="List Paragraph"/>
    <w:basedOn w:val="Normal"/>
    <w:uiPriority w:val="34"/>
    <w:qFormat/>
    <w:rsid w:val="004144ED"/>
    <w:pPr>
      <w:spacing w:after="0" w:line="240" w:lineRule="auto"/>
      <w:ind w:left="720"/>
      <w:contextualSpacing/>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C40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AE1"/>
  </w:style>
  <w:style w:type="paragraph" w:styleId="Piedepgina">
    <w:name w:val="footer"/>
    <w:basedOn w:val="Normal"/>
    <w:link w:val="PiedepginaCar"/>
    <w:uiPriority w:val="99"/>
    <w:unhideWhenUsed/>
    <w:rsid w:val="005B0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AE1"/>
  </w:style>
  <w:style w:type="paragraph" w:styleId="Sinespaciado">
    <w:name w:val="No Spacing"/>
    <w:uiPriority w:val="1"/>
    <w:qFormat/>
    <w:rsid w:val="00921951"/>
    <w:pPr>
      <w:spacing w:after="0" w:line="240" w:lineRule="auto"/>
    </w:pPr>
  </w:style>
  <w:style w:type="character" w:styleId="Hipervnculo">
    <w:name w:val="Hyperlink"/>
    <w:basedOn w:val="Fuentedeprrafopredeter"/>
    <w:uiPriority w:val="99"/>
    <w:unhideWhenUsed/>
    <w:rsid w:val="004144ED"/>
    <w:rPr>
      <w:color w:val="0000FF" w:themeColor="hyperlink"/>
      <w:u w:val="single"/>
    </w:rPr>
  </w:style>
  <w:style w:type="paragraph" w:styleId="Prrafodelista">
    <w:name w:val="List Paragraph"/>
    <w:basedOn w:val="Normal"/>
    <w:uiPriority w:val="34"/>
    <w:qFormat/>
    <w:rsid w:val="004144ED"/>
    <w:pPr>
      <w:spacing w:after="0" w:line="240" w:lineRule="auto"/>
      <w:ind w:left="720"/>
      <w:contextualSpacing/>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C40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9064">
      <w:bodyDiv w:val="1"/>
      <w:marLeft w:val="0"/>
      <w:marRight w:val="0"/>
      <w:marTop w:val="0"/>
      <w:marBottom w:val="0"/>
      <w:divBdr>
        <w:top w:val="none" w:sz="0" w:space="0" w:color="auto"/>
        <w:left w:val="none" w:sz="0" w:space="0" w:color="auto"/>
        <w:bottom w:val="none" w:sz="0" w:space="0" w:color="auto"/>
        <w:right w:val="none" w:sz="0" w:space="0" w:color="auto"/>
      </w:divBdr>
    </w:div>
    <w:div w:id="1751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bpesca.cl/portal/616/w3-article-102383.html" TargetMode="External"/><Relationship Id="rId4" Type="http://schemas.openxmlformats.org/officeDocument/2006/relationships/settings" Target="settings.xml"/><Relationship Id="rId9" Type="http://schemas.openxmlformats.org/officeDocument/2006/relationships/hyperlink" Target="http://www.subpesca.cl/portal/616/w3-article-10238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Maria Vergara</cp:lastModifiedBy>
  <cp:revision>8</cp:revision>
  <cp:lastPrinted>2018-12-06T19:24:00Z</cp:lastPrinted>
  <dcterms:created xsi:type="dcterms:W3CDTF">2018-12-05T14:37:00Z</dcterms:created>
  <dcterms:modified xsi:type="dcterms:W3CDTF">2018-12-06T19:44:00Z</dcterms:modified>
</cp:coreProperties>
</file>