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00" w:rsidRDefault="00233C00" w:rsidP="00233C00">
      <w:pPr>
        <w:pStyle w:val="Prrafodelista"/>
        <w:jc w:val="both"/>
        <w:rPr>
          <w:rFonts w:ascii="gobCL" w:hAnsi="gobCL"/>
          <w:b/>
          <w:sz w:val="24"/>
          <w:szCs w:val="24"/>
          <w:u w:val="single"/>
        </w:rPr>
      </w:pPr>
      <w:r>
        <w:rPr>
          <w:rFonts w:ascii="gobCL" w:hAnsi="gobCL"/>
          <w:b/>
          <w:sz w:val="24"/>
          <w:szCs w:val="24"/>
          <w:u w:val="single"/>
        </w:rPr>
        <w:t>ACLARACIONES A BASES ADMINISTRATIVAS SUBASTA CONSUMO HUMANO JUREL</w:t>
      </w:r>
    </w:p>
    <w:p w:rsidR="00233C00" w:rsidRDefault="00233C00" w:rsidP="00233C00">
      <w:pPr>
        <w:pStyle w:val="Prrafodelista"/>
        <w:jc w:val="both"/>
        <w:rPr>
          <w:rFonts w:ascii="gobCL" w:hAnsi="gobCL"/>
          <w:b/>
          <w:sz w:val="24"/>
          <w:szCs w:val="24"/>
        </w:rPr>
      </w:pPr>
    </w:p>
    <w:p w:rsidR="00233C00" w:rsidRDefault="00233C00" w:rsidP="00233C00">
      <w:pPr>
        <w:ind w:left="708"/>
        <w:jc w:val="both"/>
        <w:rPr>
          <w:rFonts w:ascii="gobCL" w:hAnsi="gobCL"/>
          <w:b/>
          <w:sz w:val="24"/>
          <w:szCs w:val="24"/>
        </w:rPr>
      </w:pPr>
      <w:r>
        <w:rPr>
          <w:rFonts w:ascii="gobCL" w:hAnsi="gobCL"/>
          <w:b/>
          <w:sz w:val="24"/>
          <w:szCs w:val="24"/>
        </w:rPr>
        <w:t xml:space="preserve">Aclaraciones a las bases dirigidas al correo electrónico </w:t>
      </w:r>
      <w:hyperlink r:id="rId6" w:history="1">
        <w:r>
          <w:rPr>
            <w:rStyle w:val="Hipervnculo"/>
            <w:rFonts w:ascii="gobCL" w:hAnsi="gobCL"/>
            <w:b/>
            <w:sz w:val="24"/>
            <w:szCs w:val="24"/>
          </w:rPr>
          <w:t>subastapublica@subpesca.cl</w:t>
        </w:r>
      </w:hyperlink>
      <w:r>
        <w:rPr>
          <w:rFonts w:ascii="gobCL" w:hAnsi="gobCL"/>
          <w:b/>
          <w:sz w:val="24"/>
          <w:szCs w:val="24"/>
        </w:rPr>
        <w:t xml:space="preserve"> a la fecha de 19 diciembre de 2019, según el orden de llegada y dentro del plazo de 72 horas.</w:t>
      </w:r>
    </w:p>
    <w:p w:rsidR="00233C00" w:rsidRPr="00A87396" w:rsidRDefault="00233C00" w:rsidP="00A87396">
      <w:pPr>
        <w:pStyle w:val="Prrafodelista"/>
        <w:jc w:val="both"/>
        <w:rPr>
          <w:rFonts w:ascii="gobCL" w:hAnsi="gobCL"/>
          <w:b/>
          <w:sz w:val="24"/>
          <w:szCs w:val="24"/>
        </w:rPr>
      </w:pPr>
    </w:p>
    <w:p w:rsidR="00193B3B" w:rsidRPr="00237D10" w:rsidRDefault="00193B3B" w:rsidP="00237D10">
      <w:pPr>
        <w:pStyle w:val="Prrafodelista"/>
        <w:numPr>
          <w:ilvl w:val="0"/>
          <w:numId w:val="2"/>
        </w:numPr>
        <w:jc w:val="both"/>
        <w:rPr>
          <w:rFonts w:ascii="Times New Roman" w:hAnsi="Times New Roman"/>
          <w:sz w:val="24"/>
          <w:szCs w:val="24"/>
        </w:rPr>
      </w:pPr>
      <w:r w:rsidRPr="00237D10">
        <w:rPr>
          <w:rFonts w:ascii="Times New Roman" w:hAnsi="Times New Roman"/>
          <w:sz w:val="24"/>
          <w:szCs w:val="24"/>
        </w:rPr>
        <w:t>Cómo determinar el valor mínimo</w:t>
      </w:r>
      <w:proofErr w:type="gramStart"/>
      <w:r w:rsidRPr="00237D10">
        <w:rPr>
          <w:rFonts w:ascii="Times New Roman" w:hAnsi="Times New Roman"/>
          <w:sz w:val="24"/>
          <w:szCs w:val="24"/>
        </w:rPr>
        <w:t>?</w:t>
      </w:r>
      <w:proofErr w:type="gramEnd"/>
    </w:p>
    <w:p w:rsidR="00193B3B" w:rsidRPr="00237D10" w:rsidRDefault="00193B3B" w:rsidP="005046D6">
      <w:pPr>
        <w:pStyle w:val="Prrafodelista"/>
        <w:ind w:hanging="360"/>
        <w:jc w:val="both"/>
        <w:rPr>
          <w:rFonts w:ascii="Times New Roman" w:hAnsi="Times New Roman"/>
          <w:sz w:val="24"/>
          <w:szCs w:val="24"/>
        </w:rPr>
      </w:pPr>
    </w:p>
    <w:p w:rsidR="005046D6" w:rsidRPr="00237D10" w:rsidRDefault="005046D6" w:rsidP="005046D6">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 xml:space="preserve">R: El numeral 12 de las bases administrativas señala que la oferta económica expresada en U.T.M. totales por lote, deberá ser superior o igual al valor del precio mínimo fijado para cada lote, de conformidad al artículo 14 del Reglamento de licitación de la cuota de reserva para consumo humano de las empresas de menor </w:t>
      </w:r>
      <w:proofErr w:type="gramStart"/>
      <w:r w:rsidRPr="00237D10">
        <w:rPr>
          <w:rFonts w:ascii="Times New Roman" w:hAnsi="Times New Roman" w:cs="Times New Roman"/>
          <w:b/>
          <w:color w:val="1F497D" w:themeColor="text2"/>
          <w:sz w:val="24"/>
          <w:szCs w:val="24"/>
        </w:rPr>
        <w:t>tamaño</w:t>
      </w:r>
      <w:proofErr w:type="gramEnd"/>
    </w:p>
    <w:p w:rsidR="00B42AE7" w:rsidRPr="00237D10" w:rsidRDefault="005046D6" w:rsidP="005046D6">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 xml:space="preserve">El reglamento por su parte, </w:t>
      </w:r>
      <w:r w:rsidR="00B42AE7" w:rsidRPr="00237D10">
        <w:rPr>
          <w:rFonts w:ascii="Times New Roman" w:hAnsi="Times New Roman" w:cs="Times New Roman"/>
          <w:b/>
          <w:color w:val="1F497D" w:themeColor="text2"/>
          <w:sz w:val="24"/>
          <w:szCs w:val="24"/>
        </w:rPr>
        <w:t xml:space="preserve">señala en el inciso final del artículo 5 que “En todo caso, el precio mínimo no podrá ser superior a aquél establecido en el artículo 27 de la Ley General de Pesca y Acuicultura para las subastas de la fracción industrial de la cuota global de captura”. </w:t>
      </w:r>
    </w:p>
    <w:p w:rsidR="00193B3B" w:rsidRPr="00237D10" w:rsidRDefault="005046D6" w:rsidP="005046D6">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Finalmente, e</w:t>
      </w:r>
      <w:r w:rsidR="00B42AE7" w:rsidRPr="00237D10">
        <w:rPr>
          <w:rFonts w:ascii="Times New Roman" w:hAnsi="Times New Roman" w:cs="Times New Roman"/>
          <w:b/>
          <w:color w:val="1F497D" w:themeColor="text2"/>
          <w:sz w:val="24"/>
          <w:szCs w:val="24"/>
        </w:rPr>
        <w:t xml:space="preserve">l artículo 27 de la Ley General de Pesca y Acuicultura, </w:t>
      </w:r>
      <w:r w:rsidRPr="00237D10">
        <w:rPr>
          <w:rFonts w:ascii="Times New Roman" w:hAnsi="Times New Roman" w:cs="Times New Roman"/>
          <w:b/>
          <w:color w:val="1F497D" w:themeColor="text2"/>
          <w:sz w:val="24"/>
          <w:szCs w:val="24"/>
        </w:rPr>
        <w:t xml:space="preserve"> </w:t>
      </w:r>
      <w:r w:rsidR="00B42AE7" w:rsidRPr="00237D10">
        <w:rPr>
          <w:rFonts w:ascii="Times New Roman" w:hAnsi="Times New Roman" w:cs="Times New Roman"/>
          <w:b/>
          <w:color w:val="1F497D" w:themeColor="text2"/>
          <w:sz w:val="24"/>
          <w:szCs w:val="24"/>
        </w:rPr>
        <w:t xml:space="preserve">dispone que “Las subastas tendrán un precio mínimo anual de 4,2 por ciento del valor sanción. </w:t>
      </w:r>
    </w:p>
    <w:p w:rsidR="00193B3B" w:rsidRPr="00237D10" w:rsidRDefault="00193B3B" w:rsidP="00A87396">
      <w:pPr>
        <w:pStyle w:val="Prrafodelista"/>
        <w:jc w:val="both"/>
        <w:rPr>
          <w:rFonts w:ascii="Times New Roman" w:hAnsi="Times New Roman"/>
          <w:sz w:val="24"/>
          <w:szCs w:val="24"/>
        </w:rPr>
      </w:pPr>
    </w:p>
    <w:p w:rsidR="00193B3B" w:rsidRPr="00237D10" w:rsidRDefault="00193B3B" w:rsidP="00237D10">
      <w:pPr>
        <w:pStyle w:val="Prrafodelista"/>
        <w:numPr>
          <w:ilvl w:val="0"/>
          <w:numId w:val="2"/>
        </w:numPr>
        <w:jc w:val="both"/>
        <w:rPr>
          <w:rFonts w:ascii="Times New Roman" w:hAnsi="Times New Roman"/>
          <w:sz w:val="24"/>
          <w:szCs w:val="24"/>
        </w:rPr>
      </w:pPr>
      <w:r w:rsidRPr="00237D10">
        <w:rPr>
          <w:rFonts w:ascii="Times New Roman" w:hAnsi="Times New Roman"/>
          <w:sz w:val="24"/>
          <w:szCs w:val="24"/>
        </w:rPr>
        <w:t xml:space="preserve">De acuerdo al punto 8 </w:t>
      </w:r>
      <w:proofErr w:type="gramStart"/>
      <w:r w:rsidRPr="00237D10">
        <w:rPr>
          <w:rFonts w:ascii="Times New Roman" w:hAnsi="Times New Roman"/>
          <w:sz w:val="24"/>
          <w:szCs w:val="24"/>
        </w:rPr>
        <w:t>letra</w:t>
      </w:r>
      <w:proofErr w:type="gramEnd"/>
      <w:r w:rsidRPr="00237D10">
        <w:rPr>
          <w:rFonts w:ascii="Times New Roman" w:hAnsi="Times New Roman"/>
          <w:sz w:val="24"/>
          <w:szCs w:val="24"/>
        </w:rPr>
        <w:t xml:space="preserve"> C ¿Se puede presentar una copia de certificado legalizada ante notario?</w:t>
      </w:r>
    </w:p>
    <w:p w:rsidR="00344BF2" w:rsidRPr="00237D10" w:rsidRDefault="00344BF2" w:rsidP="005046D6">
      <w:pPr>
        <w:pStyle w:val="Prrafodelista"/>
        <w:jc w:val="both"/>
        <w:rPr>
          <w:rFonts w:ascii="Times New Roman" w:hAnsi="Times New Roman"/>
          <w:sz w:val="24"/>
          <w:szCs w:val="24"/>
        </w:rPr>
      </w:pPr>
    </w:p>
    <w:p w:rsidR="00972A30" w:rsidRDefault="00344BF2" w:rsidP="005046D6">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 xml:space="preserve">R: Según el N° 8 letra c de las bases administrativas, las personas naturales o jurídicas que sean titulares de plantas de proceso, inscritos en el registro que lleva el Servicio Nacional de Pesca para </w:t>
      </w:r>
      <w:r w:rsidR="005046D6" w:rsidRPr="00237D10">
        <w:rPr>
          <w:rFonts w:ascii="Times New Roman" w:hAnsi="Times New Roman" w:cs="Times New Roman"/>
          <w:b/>
          <w:color w:val="1F497D" w:themeColor="text2"/>
          <w:sz w:val="24"/>
          <w:szCs w:val="24"/>
        </w:rPr>
        <w:t xml:space="preserve">la realización de </w:t>
      </w:r>
      <w:r w:rsidRPr="00237D10">
        <w:rPr>
          <w:rFonts w:ascii="Times New Roman" w:hAnsi="Times New Roman" w:cs="Times New Roman"/>
          <w:b/>
          <w:color w:val="1F497D" w:themeColor="text2"/>
          <w:sz w:val="24"/>
          <w:szCs w:val="24"/>
        </w:rPr>
        <w:t>actividades pesqueras de transformación, deberán acompañar en Sobre N°1</w:t>
      </w:r>
      <w:r w:rsidR="005046D6" w:rsidRPr="00237D10">
        <w:rPr>
          <w:rFonts w:ascii="Times New Roman" w:hAnsi="Times New Roman" w:cs="Times New Roman"/>
          <w:b/>
          <w:color w:val="1F497D" w:themeColor="text2"/>
          <w:sz w:val="24"/>
          <w:szCs w:val="24"/>
        </w:rPr>
        <w:t>,</w:t>
      </w:r>
      <w:r w:rsidRPr="00237D10">
        <w:rPr>
          <w:rFonts w:ascii="Times New Roman" w:hAnsi="Times New Roman" w:cs="Times New Roman"/>
          <w:b/>
          <w:color w:val="1F497D" w:themeColor="text2"/>
          <w:sz w:val="24"/>
          <w:szCs w:val="24"/>
        </w:rPr>
        <w:t xml:space="preserve"> el certificado que otorga dicho servicio, siendo útil</w:t>
      </w:r>
      <w:r w:rsidR="00A87396">
        <w:rPr>
          <w:rFonts w:ascii="Times New Roman" w:hAnsi="Times New Roman" w:cs="Times New Roman"/>
          <w:b/>
          <w:color w:val="1F497D" w:themeColor="text2"/>
          <w:sz w:val="24"/>
          <w:szCs w:val="24"/>
        </w:rPr>
        <w:t xml:space="preserve"> </w:t>
      </w:r>
      <w:r w:rsidRPr="00237D10">
        <w:rPr>
          <w:rFonts w:ascii="Times New Roman" w:hAnsi="Times New Roman" w:cs="Times New Roman"/>
          <w:b/>
          <w:color w:val="1F497D" w:themeColor="text2"/>
          <w:sz w:val="24"/>
          <w:szCs w:val="24"/>
        </w:rPr>
        <w:t>para satisfacer el requisito señalado</w:t>
      </w:r>
      <w:r w:rsidR="00A87396">
        <w:rPr>
          <w:rFonts w:ascii="Times New Roman" w:hAnsi="Times New Roman" w:cs="Times New Roman"/>
          <w:b/>
          <w:color w:val="1F497D" w:themeColor="text2"/>
          <w:sz w:val="24"/>
          <w:szCs w:val="24"/>
        </w:rPr>
        <w:t>, tanto</w:t>
      </w:r>
      <w:r w:rsidRPr="00237D10">
        <w:rPr>
          <w:rFonts w:ascii="Times New Roman" w:hAnsi="Times New Roman" w:cs="Times New Roman"/>
          <w:b/>
          <w:color w:val="1F497D" w:themeColor="text2"/>
          <w:sz w:val="24"/>
          <w:szCs w:val="24"/>
        </w:rPr>
        <w:t xml:space="preserve"> la presentación de</w:t>
      </w:r>
      <w:r w:rsidR="00A87396">
        <w:rPr>
          <w:rFonts w:ascii="Times New Roman" w:hAnsi="Times New Roman" w:cs="Times New Roman"/>
          <w:b/>
          <w:color w:val="1F497D" w:themeColor="text2"/>
          <w:sz w:val="24"/>
          <w:szCs w:val="24"/>
        </w:rPr>
        <w:t>l documento original,</w:t>
      </w:r>
      <w:r w:rsidRPr="00237D10">
        <w:rPr>
          <w:rFonts w:ascii="Times New Roman" w:hAnsi="Times New Roman" w:cs="Times New Roman"/>
          <w:b/>
          <w:color w:val="1F497D" w:themeColor="text2"/>
          <w:sz w:val="24"/>
          <w:szCs w:val="24"/>
        </w:rPr>
        <w:t xml:space="preserve"> </w:t>
      </w:r>
      <w:r w:rsidR="00A87396">
        <w:rPr>
          <w:rFonts w:ascii="Times New Roman" w:hAnsi="Times New Roman" w:cs="Times New Roman"/>
          <w:b/>
          <w:color w:val="1F497D" w:themeColor="text2"/>
          <w:sz w:val="24"/>
          <w:szCs w:val="24"/>
        </w:rPr>
        <w:t xml:space="preserve">como una </w:t>
      </w:r>
      <w:r w:rsidRPr="00237D10">
        <w:rPr>
          <w:rFonts w:ascii="Times New Roman" w:hAnsi="Times New Roman" w:cs="Times New Roman"/>
          <w:b/>
          <w:color w:val="1F497D" w:themeColor="text2"/>
          <w:sz w:val="24"/>
          <w:szCs w:val="24"/>
        </w:rPr>
        <w:t xml:space="preserve">copia </w:t>
      </w:r>
      <w:r w:rsidR="00A87396">
        <w:rPr>
          <w:rFonts w:ascii="Times New Roman" w:hAnsi="Times New Roman" w:cs="Times New Roman"/>
          <w:b/>
          <w:color w:val="1F497D" w:themeColor="text2"/>
          <w:sz w:val="24"/>
          <w:szCs w:val="24"/>
        </w:rPr>
        <w:t xml:space="preserve">simple o </w:t>
      </w:r>
      <w:r w:rsidRPr="00237D10">
        <w:rPr>
          <w:rFonts w:ascii="Times New Roman" w:hAnsi="Times New Roman" w:cs="Times New Roman"/>
          <w:b/>
          <w:color w:val="1F497D" w:themeColor="text2"/>
          <w:sz w:val="24"/>
          <w:szCs w:val="24"/>
        </w:rPr>
        <w:t>autorizada ante notario.</w:t>
      </w:r>
      <w:bookmarkStart w:id="0" w:name="_GoBack"/>
      <w:bookmarkEnd w:id="0"/>
    </w:p>
    <w:p w:rsidR="00233C00" w:rsidRPr="00A87396" w:rsidRDefault="00233C00" w:rsidP="00A87396">
      <w:pPr>
        <w:pStyle w:val="Prrafodelista"/>
        <w:jc w:val="both"/>
        <w:rPr>
          <w:rFonts w:ascii="Times New Roman" w:hAnsi="Times New Roman"/>
          <w:sz w:val="24"/>
          <w:szCs w:val="24"/>
        </w:rPr>
      </w:pPr>
    </w:p>
    <w:p w:rsidR="00193B3B" w:rsidRPr="00237D10" w:rsidRDefault="00193B3B" w:rsidP="00237D10">
      <w:pPr>
        <w:pStyle w:val="Prrafodelista"/>
        <w:numPr>
          <w:ilvl w:val="0"/>
          <w:numId w:val="2"/>
        </w:numPr>
        <w:jc w:val="both"/>
        <w:rPr>
          <w:rFonts w:ascii="Times New Roman" w:hAnsi="Times New Roman"/>
          <w:sz w:val="24"/>
          <w:szCs w:val="24"/>
        </w:rPr>
      </w:pPr>
      <w:r w:rsidRPr="00237D10">
        <w:rPr>
          <w:rFonts w:ascii="Times New Roman" w:hAnsi="Times New Roman"/>
          <w:sz w:val="24"/>
          <w:szCs w:val="24"/>
        </w:rPr>
        <w:t>PUNTO 12, MENCIONA QUE, EN EL EVENTO DE RESULTAR ADJUDICADA SE DIVIDIRA EN 3 ANUALIDADES IGUALES, ESO SIGNIFICA QUE LA OFERTA POR CADA LOTE DEBE INCLUIR LOS 3 AÑOS</w:t>
      </w:r>
      <w:proofErr w:type="gramStart"/>
      <w:r w:rsidRPr="00237D10">
        <w:rPr>
          <w:rFonts w:ascii="Times New Roman" w:hAnsi="Times New Roman"/>
          <w:sz w:val="24"/>
          <w:szCs w:val="24"/>
        </w:rPr>
        <w:t>?</w:t>
      </w:r>
      <w:proofErr w:type="gramEnd"/>
    </w:p>
    <w:p w:rsidR="00344BF2" w:rsidRPr="00237D10" w:rsidRDefault="00344BF2" w:rsidP="005046D6">
      <w:pPr>
        <w:pStyle w:val="Prrafodelista"/>
        <w:jc w:val="both"/>
        <w:rPr>
          <w:rFonts w:ascii="Times New Roman" w:hAnsi="Times New Roman"/>
          <w:sz w:val="24"/>
          <w:szCs w:val="24"/>
        </w:rPr>
      </w:pPr>
    </w:p>
    <w:p w:rsidR="00344BF2" w:rsidRDefault="00344BF2" w:rsidP="005046D6">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 xml:space="preserve">R: </w:t>
      </w:r>
      <w:r w:rsidR="005046D6" w:rsidRPr="00237D10">
        <w:rPr>
          <w:rFonts w:ascii="Times New Roman" w:hAnsi="Times New Roman" w:cs="Times New Roman"/>
          <w:b/>
          <w:color w:val="1F497D" w:themeColor="text2"/>
          <w:sz w:val="24"/>
          <w:szCs w:val="24"/>
        </w:rPr>
        <w:t xml:space="preserve">Según el numeral 12 de las bases administrativas y de conformidad con el artículo 16 del Reglamento, el monto total expresado en U.T.M de cada oferta adjudicada se </w:t>
      </w:r>
      <w:r w:rsidR="005046D6" w:rsidRPr="00237D10">
        <w:rPr>
          <w:rFonts w:ascii="Times New Roman" w:hAnsi="Times New Roman" w:cs="Times New Roman"/>
          <w:b/>
          <w:color w:val="1F497D" w:themeColor="text2"/>
          <w:sz w:val="24"/>
          <w:szCs w:val="24"/>
        </w:rPr>
        <w:lastRenderedPageBreak/>
        <w:t>dividirá en tres anualidades iguales.</w:t>
      </w:r>
      <w:r w:rsidR="00751A27">
        <w:rPr>
          <w:rFonts w:ascii="Times New Roman" w:hAnsi="Times New Roman" w:cs="Times New Roman"/>
          <w:b/>
          <w:color w:val="1F497D" w:themeColor="text2"/>
          <w:sz w:val="24"/>
          <w:szCs w:val="24"/>
        </w:rPr>
        <w:t xml:space="preserve"> Por lo anterior, la oferta debe incluir el monto total a pagar, el cual se dividirá en la forma señalada.</w:t>
      </w:r>
    </w:p>
    <w:p w:rsidR="00233C00" w:rsidRPr="00237D10" w:rsidRDefault="00233C00" w:rsidP="005046D6">
      <w:pPr>
        <w:jc w:val="both"/>
        <w:rPr>
          <w:rFonts w:ascii="Times New Roman" w:hAnsi="Times New Roman" w:cs="Times New Roman"/>
          <w:sz w:val="24"/>
          <w:szCs w:val="24"/>
        </w:rPr>
      </w:pPr>
    </w:p>
    <w:p w:rsidR="00193B3B" w:rsidRPr="00237D10" w:rsidRDefault="00193B3B" w:rsidP="00237D10">
      <w:pPr>
        <w:pStyle w:val="Prrafodelista"/>
        <w:numPr>
          <w:ilvl w:val="0"/>
          <w:numId w:val="2"/>
        </w:numPr>
        <w:jc w:val="both"/>
        <w:rPr>
          <w:rFonts w:ascii="Times New Roman" w:hAnsi="Times New Roman"/>
          <w:sz w:val="24"/>
          <w:szCs w:val="24"/>
        </w:rPr>
      </w:pPr>
      <w:r w:rsidRPr="00237D10">
        <w:rPr>
          <w:rFonts w:ascii="Times New Roman" w:hAnsi="Times New Roman"/>
          <w:sz w:val="24"/>
          <w:szCs w:val="24"/>
        </w:rPr>
        <w:t>LAS OFERTAS A PRESENTAR ES POR EL LOTE TAL COMO APARECE, O POR EL 1%?</w:t>
      </w:r>
    </w:p>
    <w:p w:rsidR="00972A30" w:rsidRPr="00237D10" w:rsidRDefault="00972A30" w:rsidP="00972A30">
      <w:pPr>
        <w:jc w:val="both"/>
        <w:rPr>
          <w:rFonts w:ascii="Times New Roman" w:hAnsi="Times New Roman" w:cs="Times New Roman"/>
          <w:sz w:val="24"/>
          <w:szCs w:val="24"/>
        </w:rPr>
      </w:pPr>
    </w:p>
    <w:p w:rsidR="00972A30" w:rsidRPr="00237D10" w:rsidRDefault="00972A30" w:rsidP="00972A30">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t xml:space="preserve">R: Las ofertas económicas deberán realizarse por </w:t>
      </w:r>
      <w:r w:rsidR="00751A27">
        <w:rPr>
          <w:rFonts w:ascii="Times New Roman" w:hAnsi="Times New Roman" w:cs="Times New Roman"/>
          <w:b/>
          <w:color w:val="1F497D" w:themeColor="text2"/>
          <w:sz w:val="24"/>
          <w:szCs w:val="24"/>
        </w:rPr>
        <w:t>lote, expresando el</w:t>
      </w:r>
      <w:r w:rsidR="00751A27" w:rsidRPr="00751A27">
        <w:rPr>
          <w:rFonts w:ascii="Times New Roman" w:hAnsi="Times New Roman" w:cs="Times New Roman"/>
          <w:b/>
          <w:color w:val="1F497D" w:themeColor="text2"/>
          <w:sz w:val="24"/>
          <w:szCs w:val="24"/>
        </w:rPr>
        <w:t xml:space="preserve"> precio en Unidad Tributaria Mensual (U.T.M.)</w:t>
      </w:r>
      <w:r w:rsidR="00751A27">
        <w:rPr>
          <w:rFonts w:ascii="Times New Roman" w:hAnsi="Times New Roman" w:cs="Times New Roman"/>
          <w:b/>
          <w:color w:val="1F497D" w:themeColor="text2"/>
          <w:sz w:val="24"/>
          <w:szCs w:val="24"/>
        </w:rPr>
        <w:t>, en conformidad a los numerales 10 y 12 de las bases.</w:t>
      </w:r>
    </w:p>
    <w:p w:rsidR="00193B3B" w:rsidRPr="00237D10" w:rsidRDefault="00193B3B" w:rsidP="005046D6">
      <w:pPr>
        <w:jc w:val="both"/>
        <w:rPr>
          <w:rFonts w:ascii="Times New Roman" w:hAnsi="Times New Roman" w:cs="Times New Roman"/>
          <w:sz w:val="24"/>
          <w:szCs w:val="24"/>
        </w:rPr>
      </w:pPr>
    </w:p>
    <w:p w:rsidR="00193B3B" w:rsidRPr="00237D10" w:rsidRDefault="00193B3B" w:rsidP="00237D10">
      <w:pPr>
        <w:pStyle w:val="Prrafodelista"/>
        <w:numPr>
          <w:ilvl w:val="0"/>
          <w:numId w:val="2"/>
        </w:numPr>
        <w:jc w:val="both"/>
        <w:rPr>
          <w:rFonts w:ascii="Times New Roman" w:hAnsi="Times New Roman"/>
          <w:sz w:val="24"/>
          <w:szCs w:val="24"/>
        </w:rPr>
      </w:pPr>
      <w:r w:rsidRPr="00237D10">
        <w:rPr>
          <w:rFonts w:ascii="Times New Roman" w:hAnsi="Times New Roman"/>
          <w:sz w:val="24"/>
          <w:szCs w:val="24"/>
        </w:rPr>
        <w:t>punto 8, letra A: si participa una persona natural, cómo debe acreditar vigencia</w:t>
      </w:r>
      <w:proofErr w:type="gramStart"/>
      <w:r w:rsidRPr="00237D10">
        <w:rPr>
          <w:rFonts w:ascii="Times New Roman" w:hAnsi="Times New Roman"/>
          <w:sz w:val="24"/>
          <w:szCs w:val="24"/>
        </w:rPr>
        <w:t>?</w:t>
      </w:r>
      <w:proofErr w:type="gramEnd"/>
      <w:r w:rsidRPr="00237D10">
        <w:rPr>
          <w:rFonts w:ascii="Times New Roman" w:hAnsi="Times New Roman"/>
          <w:sz w:val="24"/>
          <w:szCs w:val="24"/>
        </w:rPr>
        <w:t xml:space="preserve"> O si participa directamente la persona natural es necesario presentar algún documento en la letra A</w:t>
      </w:r>
      <w:proofErr w:type="gramStart"/>
      <w:r w:rsidRPr="00237D10">
        <w:rPr>
          <w:rFonts w:ascii="Times New Roman" w:hAnsi="Times New Roman"/>
          <w:sz w:val="24"/>
          <w:szCs w:val="24"/>
        </w:rPr>
        <w:t>?</w:t>
      </w:r>
      <w:proofErr w:type="gramEnd"/>
    </w:p>
    <w:p w:rsidR="00972A30" w:rsidRPr="00237D10" w:rsidRDefault="00972A30" w:rsidP="00972A30">
      <w:pPr>
        <w:jc w:val="both"/>
        <w:rPr>
          <w:rFonts w:ascii="Times New Roman" w:hAnsi="Times New Roman" w:cs="Times New Roman"/>
          <w:b/>
          <w:color w:val="1F497D" w:themeColor="text2"/>
          <w:sz w:val="24"/>
          <w:szCs w:val="24"/>
        </w:rPr>
      </w:pPr>
      <w:r w:rsidRPr="00237D10">
        <w:rPr>
          <w:rFonts w:ascii="Times New Roman" w:hAnsi="Times New Roman" w:cs="Times New Roman"/>
          <w:b/>
          <w:color w:val="1F497D" w:themeColor="text2"/>
          <w:sz w:val="24"/>
          <w:szCs w:val="24"/>
        </w:rPr>
        <w:br/>
        <w:t>R:</w:t>
      </w:r>
      <w:r w:rsidR="00237D10" w:rsidRPr="00237D10">
        <w:rPr>
          <w:rFonts w:ascii="Times New Roman" w:hAnsi="Times New Roman" w:cs="Times New Roman"/>
          <w:b/>
          <w:color w:val="1F497D" w:themeColor="text2"/>
          <w:sz w:val="24"/>
          <w:szCs w:val="24"/>
        </w:rPr>
        <w:t xml:space="preserve"> Si participa una persona natural representada por un tercero, deberá acompañarse en el Sobre N° 1 la personería de quien comparece en su nombre, a través de los respectivos poderes, los cuales deberán tener una vigencia no superior a seis meses.</w:t>
      </w:r>
    </w:p>
    <w:p w:rsidR="00751A27" w:rsidRPr="00237D10" w:rsidRDefault="00237D10" w:rsidP="00972A30">
      <w:pPr>
        <w:jc w:val="both"/>
        <w:rPr>
          <w:rFonts w:ascii="Times New Roman" w:hAnsi="Times New Roman" w:cs="Times New Roman"/>
          <w:sz w:val="24"/>
          <w:szCs w:val="24"/>
        </w:rPr>
      </w:pPr>
      <w:r w:rsidRPr="00237D10">
        <w:rPr>
          <w:rFonts w:ascii="Times New Roman" w:hAnsi="Times New Roman" w:cs="Times New Roman"/>
          <w:b/>
          <w:color w:val="1F497D" w:themeColor="text2"/>
          <w:sz w:val="24"/>
          <w:szCs w:val="24"/>
        </w:rPr>
        <w:t xml:space="preserve">Si participa directamente una persona natural, no es necesario acompañar </w:t>
      </w:r>
      <w:r w:rsidR="00751A27">
        <w:rPr>
          <w:rFonts w:ascii="Times New Roman" w:hAnsi="Times New Roman" w:cs="Times New Roman"/>
          <w:b/>
          <w:color w:val="1F497D" w:themeColor="text2"/>
          <w:sz w:val="24"/>
          <w:szCs w:val="24"/>
        </w:rPr>
        <w:t>los documentos señalados en el numeral 8 letra a) de las bases.</w:t>
      </w:r>
    </w:p>
    <w:sectPr w:rsidR="00751A27" w:rsidRPr="00237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AE4"/>
    <w:multiLevelType w:val="hybridMultilevel"/>
    <w:tmpl w:val="E07EF312"/>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B133DD"/>
    <w:multiLevelType w:val="hybridMultilevel"/>
    <w:tmpl w:val="FEA0C7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3816FBA"/>
    <w:multiLevelType w:val="hybridMultilevel"/>
    <w:tmpl w:val="28DE20CE"/>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Orellana">
    <w15:presenceInfo w15:providerId="AD" w15:userId="S-1-5-21-3238184746-385843604-219277425-2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3B"/>
    <w:rsid w:val="00193B3B"/>
    <w:rsid w:val="00211C89"/>
    <w:rsid w:val="00233C00"/>
    <w:rsid w:val="00237D10"/>
    <w:rsid w:val="00344BF2"/>
    <w:rsid w:val="005046D6"/>
    <w:rsid w:val="005552F7"/>
    <w:rsid w:val="00690708"/>
    <w:rsid w:val="00751A27"/>
    <w:rsid w:val="00931958"/>
    <w:rsid w:val="00972A30"/>
    <w:rsid w:val="00A87396"/>
    <w:rsid w:val="00B42AE7"/>
    <w:rsid w:val="00E510E9"/>
    <w:rsid w:val="00F074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B3B"/>
    <w:pPr>
      <w:spacing w:after="0" w:line="240" w:lineRule="auto"/>
      <w:ind w:left="720"/>
    </w:pPr>
    <w:rPr>
      <w:rFonts w:ascii="Calibri" w:hAnsi="Calibri" w:cs="Times New Roman"/>
      <w:lang w:eastAsia="es-CL"/>
    </w:rPr>
  </w:style>
  <w:style w:type="character" w:styleId="Refdecomentario">
    <w:name w:val="annotation reference"/>
    <w:basedOn w:val="Fuentedeprrafopredeter"/>
    <w:uiPriority w:val="99"/>
    <w:semiHidden/>
    <w:unhideWhenUsed/>
    <w:rsid w:val="00751A27"/>
    <w:rPr>
      <w:sz w:val="16"/>
      <w:szCs w:val="16"/>
    </w:rPr>
  </w:style>
  <w:style w:type="paragraph" w:styleId="Textocomentario">
    <w:name w:val="annotation text"/>
    <w:basedOn w:val="Normal"/>
    <w:link w:val="TextocomentarioCar"/>
    <w:uiPriority w:val="99"/>
    <w:semiHidden/>
    <w:unhideWhenUsed/>
    <w:rsid w:val="00751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A27"/>
    <w:rPr>
      <w:sz w:val="20"/>
      <w:szCs w:val="20"/>
    </w:rPr>
  </w:style>
  <w:style w:type="paragraph" w:styleId="Asuntodelcomentario">
    <w:name w:val="annotation subject"/>
    <w:basedOn w:val="Textocomentario"/>
    <w:next w:val="Textocomentario"/>
    <w:link w:val="AsuntodelcomentarioCar"/>
    <w:uiPriority w:val="99"/>
    <w:semiHidden/>
    <w:unhideWhenUsed/>
    <w:rsid w:val="00751A27"/>
    <w:rPr>
      <w:b/>
      <w:bCs/>
    </w:rPr>
  </w:style>
  <w:style w:type="character" w:customStyle="1" w:styleId="AsuntodelcomentarioCar">
    <w:name w:val="Asunto del comentario Car"/>
    <w:basedOn w:val="TextocomentarioCar"/>
    <w:link w:val="Asuntodelcomentario"/>
    <w:uiPriority w:val="99"/>
    <w:semiHidden/>
    <w:rsid w:val="00751A27"/>
    <w:rPr>
      <w:b/>
      <w:bCs/>
      <w:sz w:val="20"/>
      <w:szCs w:val="20"/>
    </w:rPr>
  </w:style>
  <w:style w:type="paragraph" w:styleId="Textodeglobo">
    <w:name w:val="Balloon Text"/>
    <w:basedOn w:val="Normal"/>
    <w:link w:val="TextodegloboCar"/>
    <w:uiPriority w:val="99"/>
    <w:semiHidden/>
    <w:unhideWhenUsed/>
    <w:rsid w:val="00751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27"/>
    <w:rPr>
      <w:rFonts w:ascii="Segoe UI" w:hAnsi="Segoe UI" w:cs="Segoe UI"/>
      <w:sz w:val="18"/>
      <w:szCs w:val="18"/>
    </w:rPr>
  </w:style>
  <w:style w:type="character" w:styleId="Hipervnculo">
    <w:name w:val="Hyperlink"/>
    <w:basedOn w:val="Fuentedeprrafopredeter"/>
    <w:uiPriority w:val="99"/>
    <w:semiHidden/>
    <w:unhideWhenUsed/>
    <w:rsid w:val="00233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B3B"/>
    <w:pPr>
      <w:spacing w:after="0" w:line="240" w:lineRule="auto"/>
      <w:ind w:left="720"/>
    </w:pPr>
    <w:rPr>
      <w:rFonts w:ascii="Calibri" w:hAnsi="Calibri" w:cs="Times New Roman"/>
      <w:lang w:eastAsia="es-CL"/>
    </w:rPr>
  </w:style>
  <w:style w:type="character" w:styleId="Refdecomentario">
    <w:name w:val="annotation reference"/>
    <w:basedOn w:val="Fuentedeprrafopredeter"/>
    <w:uiPriority w:val="99"/>
    <w:semiHidden/>
    <w:unhideWhenUsed/>
    <w:rsid w:val="00751A27"/>
    <w:rPr>
      <w:sz w:val="16"/>
      <w:szCs w:val="16"/>
    </w:rPr>
  </w:style>
  <w:style w:type="paragraph" w:styleId="Textocomentario">
    <w:name w:val="annotation text"/>
    <w:basedOn w:val="Normal"/>
    <w:link w:val="TextocomentarioCar"/>
    <w:uiPriority w:val="99"/>
    <w:semiHidden/>
    <w:unhideWhenUsed/>
    <w:rsid w:val="00751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A27"/>
    <w:rPr>
      <w:sz w:val="20"/>
      <w:szCs w:val="20"/>
    </w:rPr>
  </w:style>
  <w:style w:type="paragraph" w:styleId="Asuntodelcomentario">
    <w:name w:val="annotation subject"/>
    <w:basedOn w:val="Textocomentario"/>
    <w:next w:val="Textocomentario"/>
    <w:link w:val="AsuntodelcomentarioCar"/>
    <w:uiPriority w:val="99"/>
    <w:semiHidden/>
    <w:unhideWhenUsed/>
    <w:rsid w:val="00751A27"/>
    <w:rPr>
      <w:b/>
      <w:bCs/>
    </w:rPr>
  </w:style>
  <w:style w:type="character" w:customStyle="1" w:styleId="AsuntodelcomentarioCar">
    <w:name w:val="Asunto del comentario Car"/>
    <w:basedOn w:val="TextocomentarioCar"/>
    <w:link w:val="Asuntodelcomentario"/>
    <w:uiPriority w:val="99"/>
    <w:semiHidden/>
    <w:rsid w:val="00751A27"/>
    <w:rPr>
      <w:b/>
      <w:bCs/>
      <w:sz w:val="20"/>
      <w:szCs w:val="20"/>
    </w:rPr>
  </w:style>
  <w:style w:type="paragraph" w:styleId="Textodeglobo">
    <w:name w:val="Balloon Text"/>
    <w:basedOn w:val="Normal"/>
    <w:link w:val="TextodegloboCar"/>
    <w:uiPriority w:val="99"/>
    <w:semiHidden/>
    <w:unhideWhenUsed/>
    <w:rsid w:val="00751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27"/>
    <w:rPr>
      <w:rFonts w:ascii="Segoe UI" w:hAnsi="Segoe UI" w:cs="Segoe UI"/>
      <w:sz w:val="18"/>
      <w:szCs w:val="18"/>
    </w:rPr>
  </w:style>
  <w:style w:type="character" w:styleId="Hipervnculo">
    <w:name w:val="Hyperlink"/>
    <w:basedOn w:val="Fuentedeprrafopredeter"/>
    <w:uiPriority w:val="99"/>
    <w:semiHidden/>
    <w:unhideWhenUsed/>
    <w:rsid w:val="0023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5626">
      <w:bodyDiv w:val="1"/>
      <w:marLeft w:val="0"/>
      <w:marRight w:val="0"/>
      <w:marTop w:val="0"/>
      <w:marBottom w:val="0"/>
      <w:divBdr>
        <w:top w:val="none" w:sz="0" w:space="0" w:color="auto"/>
        <w:left w:val="none" w:sz="0" w:space="0" w:color="auto"/>
        <w:bottom w:val="none" w:sz="0" w:space="0" w:color="auto"/>
        <w:right w:val="none" w:sz="0" w:space="0" w:color="auto"/>
      </w:divBdr>
    </w:div>
    <w:div w:id="1024861652">
      <w:bodyDiv w:val="1"/>
      <w:marLeft w:val="0"/>
      <w:marRight w:val="0"/>
      <w:marTop w:val="0"/>
      <w:marBottom w:val="0"/>
      <w:divBdr>
        <w:top w:val="none" w:sz="0" w:space="0" w:color="auto"/>
        <w:left w:val="none" w:sz="0" w:space="0" w:color="auto"/>
        <w:bottom w:val="none" w:sz="0" w:space="0" w:color="auto"/>
        <w:right w:val="none" w:sz="0" w:space="0" w:color="auto"/>
      </w:divBdr>
    </w:div>
    <w:div w:id="16144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stapublica@subpesca.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2519</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Valdivia</dc:creator>
  <cp:lastModifiedBy>Nicolas Valdivia</cp:lastModifiedBy>
  <cp:revision>2</cp:revision>
  <cp:lastPrinted>2019-12-18T14:26:00Z</cp:lastPrinted>
  <dcterms:created xsi:type="dcterms:W3CDTF">2019-12-18T14:31:00Z</dcterms:created>
  <dcterms:modified xsi:type="dcterms:W3CDTF">2019-12-18T14:31:00Z</dcterms:modified>
</cp:coreProperties>
</file>