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F6" w:rsidRPr="009730F6" w:rsidRDefault="009730F6" w:rsidP="009730F6">
      <w:pPr>
        <w:spacing w:after="0" w:line="240" w:lineRule="auto"/>
        <w:jc w:val="both"/>
        <w:rPr>
          <w:rFonts w:ascii="gobCL" w:hAnsi="gobCL"/>
          <w:b/>
          <w:sz w:val="24"/>
          <w:szCs w:val="24"/>
          <w:u w:val="single"/>
          <w:lang w:eastAsia="es-CL"/>
        </w:rPr>
      </w:pPr>
      <w:r w:rsidRPr="009730F6">
        <w:rPr>
          <w:rFonts w:ascii="gobCL" w:hAnsi="gobCL"/>
          <w:b/>
          <w:sz w:val="24"/>
          <w:szCs w:val="24"/>
          <w:u w:val="single"/>
          <w:lang w:eastAsia="es-CL"/>
        </w:rPr>
        <w:t>ACLARACIONES A BASES ADMINISTRATIVAS SUBASTA LICENCIA TRANSABLE DE PESCA TIPO B</w:t>
      </w:r>
    </w:p>
    <w:p w:rsidR="009730F6" w:rsidRPr="009730F6" w:rsidRDefault="009730F6" w:rsidP="009730F6">
      <w:pPr>
        <w:spacing w:line="240" w:lineRule="auto"/>
        <w:jc w:val="both"/>
        <w:rPr>
          <w:rFonts w:ascii="gobCL" w:hAnsi="gobCL"/>
          <w:b/>
          <w:sz w:val="24"/>
          <w:szCs w:val="24"/>
          <w:lang w:eastAsia="es-CL"/>
        </w:rPr>
      </w:pPr>
    </w:p>
    <w:p w:rsidR="009730F6" w:rsidRPr="009730F6" w:rsidRDefault="009730F6" w:rsidP="009730F6">
      <w:pPr>
        <w:spacing w:line="240" w:lineRule="auto"/>
        <w:jc w:val="both"/>
        <w:rPr>
          <w:rFonts w:ascii="gobCL" w:hAnsi="gobCL"/>
          <w:b/>
          <w:sz w:val="24"/>
          <w:szCs w:val="24"/>
          <w:lang w:eastAsia="es-CL"/>
        </w:rPr>
      </w:pPr>
      <w:r w:rsidRPr="009730F6">
        <w:rPr>
          <w:rFonts w:ascii="gobCL" w:hAnsi="gobCL"/>
          <w:b/>
          <w:sz w:val="24"/>
          <w:szCs w:val="24"/>
          <w:lang w:eastAsia="es-CL"/>
        </w:rPr>
        <w:t xml:space="preserve">Aclaraciones a las bases dirigidas al correo electrónico </w:t>
      </w:r>
      <w:hyperlink r:id="rId8" w:history="1">
        <w:r w:rsidRPr="009730F6">
          <w:rPr>
            <w:rFonts w:ascii="gobCL" w:hAnsi="gobCL"/>
            <w:b/>
            <w:sz w:val="24"/>
            <w:szCs w:val="24"/>
            <w:lang w:eastAsia="es-CL"/>
          </w:rPr>
          <w:t>subastapublica@subpesca.cl</w:t>
        </w:r>
      </w:hyperlink>
      <w:r w:rsidRPr="009730F6">
        <w:rPr>
          <w:rFonts w:ascii="gobCL" w:hAnsi="gobCL"/>
          <w:b/>
          <w:sz w:val="24"/>
          <w:szCs w:val="24"/>
          <w:lang w:eastAsia="es-CL"/>
        </w:rPr>
        <w:t xml:space="preserve"> a la fecha de 2</w:t>
      </w:r>
      <w:r w:rsidRPr="006F1CD6">
        <w:rPr>
          <w:rFonts w:ascii="gobCL" w:hAnsi="gobCL"/>
          <w:b/>
          <w:sz w:val="24"/>
          <w:szCs w:val="24"/>
          <w:lang w:eastAsia="es-CL"/>
        </w:rPr>
        <w:t>6</w:t>
      </w:r>
      <w:r w:rsidRPr="009730F6">
        <w:rPr>
          <w:rFonts w:ascii="gobCL" w:hAnsi="gobCL"/>
          <w:b/>
          <w:sz w:val="24"/>
          <w:szCs w:val="24"/>
          <w:lang w:eastAsia="es-CL"/>
        </w:rPr>
        <w:t xml:space="preserve"> noviembre de 2019, según el orden de llegada y dentro del plazo de 72 horas</w:t>
      </w:r>
    </w:p>
    <w:p w:rsidR="001B50D1" w:rsidRPr="006F1CD6" w:rsidRDefault="001B50D1" w:rsidP="009730F6">
      <w:pPr>
        <w:spacing w:line="240" w:lineRule="auto"/>
        <w:ind w:left="708"/>
        <w:jc w:val="both"/>
        <w:rPr>
          <w:rFonts w:ascii="gobCL" w:hAnsi="gobCL"/>
          <w:b/>
          <w:color w:val="1F497D" w:themeColor="text2"/>
          <w:sz w:val="24"/>
          <w:szCs w:val="24"/>
        </w:rPr>
      </w:pPr>
    </w:p>
    <w:p w:rsidR="001B50D1" w:rsidRPr="006F1CD6" w:rsidRDefault="009730F6" w:rsidP="009730F6">
      <w:pPr>
        <w:spacing w:line="240" w:lineRule="auto"/>
        <w:rPr>
          <w:rFonts w:ascii="gobCL" w:hAnsi="gobCL"/>
          <w:sz w:val="24"/>
          <w:szCs w:val="24"/>
        </w:rPr>
      </w:pPr>
      <w:r w:rsidRPr="006F1CD6">
        <w:rPr>
          <w:rFonts w:ascii="gobCL" w:hAnsi="gobCL"/>
          <w:sz w:val="24"/>
          <w:szCs w:val="24"/>
        </w:rPr>
        <w:t xml:space="preserve">5.- </w:t>
      </w:r>
      <w:r w:rsidR="001B50D1" w:rsidRPr="006F1CD6">
        <w:rPr>
          <w:rFonts w:ascii="gobCL" w:hAnsi="gobCL"/>
          <w:sz w:val="24"/>
          <w:szCs w:val="24"/>
        </w:rPr>
        <w:t xml:space="preserve">En el numeral 7 Garantías, existen 2 columnas una de Garantía $ y otra de Garantía en </w:t>
      </w:r>
      <w:proofErr w:type="spellStart"/>
      <w:r w:rsidR="001B50D1" w:rsidRPr="006F1CD6">
        <w:rPr>
          <w:rFonts w:ascii="gobCL" w:hAnsi="gobCL"/>
          <w:sz w:val="24"/>
          <w:szCs w:val="24"/>
        </w:rPr>
        <w:t>UTM</w:t>
      </w:r>
      <w:proofErr w:type="spellEnd"/>
      <w:r w:rsidR="001B50D1" w:rsidRPr="006F1CD6">
        <w:rPr>
          <w:rFonts w:ascii="gobCL" w:hAnsi="gobCL"/>
          <w:sz w:val="24"/>
          <w:szCs w:val="24"/>
        </w:rPr>
        <w:t xml:space="preserve">, mi pregunta es, ¿esta garantía en cual se debe emitir en pesos o en </w:t>
      </w:r>
      <w:proofErr w:type="spellStart"/>
      <w:r w:rsidR="001B50D1" w:rsidRPr="006F1CD6">
        <w:rPr>
          <w:rFonts w:ascii="gobCL" w:hAnsi="gobCL"/>
          <w:sz w:val="24"/>
          <w:szCs w:val="24"/>
        </w:rPr>
        <w:t>UTM</w:t>
      </w:r>
      <w:proofErr w:type="spellEnd"/>
      <w:r w:rsidR="001B50D1" w:rsidRPr="006F1CD6">
        <w:rPr>
          <w:rFonts w:ascii="gobCL" w:hAnsi="gobCL"/>
          <w:sz w:val="24"/>
          <w:szCs w:val="24"/>
        </w:rPr>
        <w:t>?</w:t>
      </w:r>
    </w:p>
    <w:p w:rsidR="001B50D1" w:rsidRPr="006F1CD6" w:rsidRDefault="001B50D1" w:rsidP="009730F6">
      <w:pPr>
        <w:spacing w:line="240" w:lineRule="auto"/>
        <w:jc w:val="both"/>
        <w:rPr>
          <w:rFonts w:ascii="gobCL" w:hAnsi="gobCL"/>
          <w:b/>
          <w:color w:val="1F497D" w:themeColor="text2"/>
          <w:sz w:val="24"/>
          <w:szCs w:val="24"/>
        </w:rPr>
      </w:pPr>
      <w:r w:rsidRPr="006F1CD6">
        <w:rPr>
          <w:rFonts w:ascii="gobCL" w:hAnsi="gobCL"/>
          <w:b/>
          <w:color w:val="1F497D" w:themeColor="text2"/>
          <w:sz w:val="24"/>
          <w:szCs w:val="24"/>
        </w:rPr>
        <w:t>Puede ser en cualquiera de las formas señaladas, teniendo presente que debe ser equivalente al monto de garantía señalado en las bases administrativas respectivas.</w:t>
      </w:r>
    </w:p>
    <w:p w:rsidR="009730F6" w:rsidRPr="006F1CD6" w:rsidRDefault="009730F6" w:rsidP="009730F6">
      <w:pPr>
        <w:pStyle w:val="Prrafodelista"/>
        <w:ind w:left="0"/>
        <w:jc w:val="both"/>
        <w:rPr>
          <w:rFonts w:ascii="gobCL" w:hAnsi="gobCL"/>
          <w:sz w:val="24"/>
          <w:szCs w:val="24"/>
        </w:rPr>
      </w:pPr>
      <w:r w:rsidRPr="006F1CD6">
        <w:rPr>
          <w:rFonts w:ascii="gobCL" w:hAnsi="gobCL"/>
          <w:sz w:val="24"/>
          <w:szCs w:val="24"/>
        </w:rPr>
        <w:t>6.- Si deseo participar en la subasta de varias pesquerías ¿Debo presentar sobre “Antecedentes administrativos” por cada una de ellas?</w:t>
      </w:r>
    </w:p>
    <w:p w:rsidR="009730F6" w:rsidRPr="006F1CD6" w:rsidRDefault="009730F6" w:rsidP="009730F6">
      <w:pPr>
        <w:pStyle w:val="Prrafodelista"/>
        <w:ind w:hanging="360"/>
        <w:jc w:val="both"/>
        <w:rPr>
          <w:rFonts w:ascii="gobCL" w:hAnsi="gobCL"/>
          <w:sz w:val="24"/>
          <w:szCs w:val="24"/>
        </w:rPr>
      </w:pPr>
    </w:p>
    <w:p w:rsidR="009730F6" w:rsidRPr="006F1CD6" w:rsidRDefault="009730F6" w:rsidP="009730F6">
      <w:pPr>
        <w:pStyle w:val="Prrafodelista"/>
        <w:ind w:left="0"/>
        <w:jc w:val="both"/>
        <w:rPr>
          <w:rFonts w:ascii="gobCL" w:hAnsi="gobCL"/>
          <w:b/>
          <w:color w:val="1F497D" w:themeColor="text2"/>
          <w:sz w:val="24"/>
          <w:szCs w:val="24"/>
        </w:rPr>
      </w:pPr>
      <w:r w:rsidRPr="006F1CD6">
        <w:rPr>
          <w:rFonts w:ascii="gobCL" w:hAnsi="gobCL"/>
          <w:b/>
          <w:color w:val="1F497D" w:themeColor="text2"/>
          <w:sz w:val="24"/>
          <w:szCs w:val="24"/>
        </w:rPr>
        <w:t>Efectivamente porque son bases administrativas aprobadas mediante resoluciones exentas diversas.</w:t>
      </w:r>
    </w:p>
    <w:p w:rsidR="009730F6" w:rsidRPr="006F1CD6" w:rsidRDefault="009730F6" w:rsidP="009730F6">
      <w:pPr>
        <w:pStyle w:val="Prrafodelista"/>
        <w:ind w:hanging="360"/>
        <w:rPr>
          <w:rFonts w:ascii="gobCL" w:hAnsi="gobCL"/>
          <w:sz w:val="24"/>
          <w:szCs w:val="24"/>
        </w:rPr>
      </w:pPr>
    </w:p>
    <w:p w:rsidR="009730F6" w:rsidRPr="006F1CD6" w:rsidRDefault="009730F6" w:rsidP="009730F6">
      <w:pPr>
        <w:spacing w:line="240" w:lineRule="auto"/>
        <w:jc w:val="both"/>
        <w:rPr>
          <w:rFonts w:ascii="gobCL" w:hAnsi="gobCL"/>
          <w:sz w:val="24"/>
          <w:szCs w:val="24"/>
        </w:rPr>
      </w:pPr>
      <w:r w:rsidRPr="006F1CD6">
        <w:rPr>
          <w:rFonts w:ascii="gobCL" w:hAnsi="gobCL"/>
          <w:sz w:val="24"/>
          <w:szCs w:val="24"/>
        </w:rPr>
        <w:t xml:space="preserve">7.- En relación a Bases administrativas de subasta para </w:t>
      </w:r>
      <w:proofErr w:type="spellStart"/>
      <w:r w:rsidRPr="006F1CD6">
        <w:rPr>
          <w:rFonts w:ascii="gobCL" w:hAnsi="gobCL"/>
          <w:sz w:val="24"/>
          <w:szCs w:val="24"/>
        </w:rPr>
        <w:t>LTP</w:t>
      </w:r>
      <w:proofErr w:type="spellEnd"/>
      <w:r w:rsidRPr="006F1CD6">
        <w:rPr>
          <w:rFonts w:ascii="gobCL" w:hAnsi="gobCL"/>
          <w:sz w:val="24"/>
          <w:szCs w:val="24"/>
        </w:rPr>
        <w:t xml:space="preserve">-B de Merluza común según </w:t>
      </w:r>
      <w:r w:rsidRPr="006F1CD6">
        <w:rPr>
          <w:rFonts w:ascii="gobCL" w:hAnsi="gobCL"/>
          <w:bCs/>
          <w:sz w:val="24"/>
          <w:szCs w:val="24"/>
        </w:rPr>
        <w:t>Resolución N°</w:t>
      </w:r>
      <w:r w:rsidR="00064FF4">
        <w:rPr>
          <w:rFonts w:ascii="gobCL" w:hAnsi="gobCL"/>
          <w:bCs/>
          <w:sz w:val="24"/>
          <w:szCs w:val="24"/>
        </w:rPr>
        <w:t xml:space="preserve"> </w:t>
      </w:r>
      <w:r w:rsidRPr="006F1CD6">
        <w:rPr>
          <w:rFonts w:ascii="gobCL" w:hAnsi="gobCL"/>
          <w:bCs/>
          <w:sz w:val="24"/>
          <w:szCs w:val="24"/>
        </w:rPr>
        <w:t>3548-19, Número</w:t>
      </w:r>
      <w:r w:rsidR="00064FF4">
        <w:rPr>
          <w:rFonts w:ascii="Courier New" w:hAnsi="Courier New" w:cs="Courier New"/>
          <w:bCs/>
          <w:sz w:val="24"/>
          <w:szCs w:val="24"/>
        </w:rPr>
        <w:t xml:space="preserve"> </w:t>
      </w:r>
      <w:r w:rsidR="00064FF4">
        <w:rPr>
          <w:rFonts w:ascii="gobCL" w:hAnsi="gobCL"/>
          <w:bCs/>
          <w:sz w:val="24"/>
          <w:szCs w:val="24"/>
        </w:rPr>
        <w:t>8</w:t>
      </w:r>
      <w:r w:rsidRPr="006F1CD6">
        <w:rPr>
          <w:rFonts w:ascii="gobCL" w:hAnsi="gobCL"/>
          <w:bCs/>
          <w:sz w:val="24"/>
          <w:szCs w:val="24"/>
        </w:rPr>
        <w:t>, letra b), A</w:t>
      </w:r>
      <w:r w:rsidR="00064FF4" w:rsidRPr="006F1CD6">
        <w:rPr>
          <w:rFonts w:ascii="gobCL" w:hAnsi="gobCL"/>
          <w:bCs/>
          <w:sz w:val="24"/>
          <w:szCs w:val="24"/>
        </w:rPr>
        <w:t>ntecedente</w:t>
      </w:r>
      <w:r w:rsidR="00064FF4" w:rsidRPr="006F1CD6">
        <w:rPr>
          <w:rFonts w:ascii="gobCL" w:hAnsi="gobCL"/>
          <w:sz w:val="24"/>
          <w:szCs w:val="24"/>
        </w:rPr>
        <w:t>s</w:t>
      </w:r>
      <w:r w:rsidRPr="006F1CD6">
        <w:rPr>
          <w:rFonts w:ascii="gobCL" w:hAnsi="gobCL"/>
          <w:sz w:val="24"/>
          <w:szCs w:val="24"/>
        </w:rPr>
        <w:t>;</w:t>
      </w:r>
      <w:r w:rsidRPr="006F1CD6">
        <w:rPr>
          <w:rFonts w:ascii="Courier New" w:hAnsi="Courier New" w:cs="Courier New"/>
          <w:sz w:val="24"/>
          <w:szCs w:val="24"/>
        </w:rPr>
        <w:t> </w:t>
      </w:r>
      <w:r w:rsidRPr="006F1CD6">
        <w:rPr>
          <w:rFonts w:ascii="gobCL" w:hAnsi="gobCL"/>
          <w:sz w:val="24"/>
          <w:szCs w:val="24"/>
        </w:rPr>
        <w:t xml:space="preserve"> para acreditar que una empresa tiene la calidad</w:t>
      </w:r>
      <w:r w:rsidRPr="006F1CD6">
        <w:rPr>
          <w:rFonts w:ascii="Courier New" w:hAnsi="Courier New" w:cs="Courier New"/>
          <w:sz w:val="24"/>
          <w:szCs w:val="24"/>
        </w:rPr>
        <w:t> </w:t>
      </w:r>
      <w:r w:rsidRPr="006F1CD6">
        <w:rPr>
          <w:rFonts w:ascii="gobCL" w:hAnsi="gobCL"/>
          <w:sz w:val="24"/>
          <w:szCs w:val="24"/>
        </w:rPr>
        <w:t>de empresa de menor tama</w:t>
      </w:r>
      <w:r w:rsidRPr="006F1CD6">
        <w:rPr>
          <w:rFonts w:ascii="gobCL" w:hAnsi="gobCL" w:cs="gobCL"/>
          <w:sz w:val="24"/>
          <w:szCs w:val="24"/>
        </w:rPr>
        <w:t>ñ</w:t>
      </w:r>
      <w:r w:rsidRPr="006F1CD6">
        <w:rPr>
          <w:rFonts w:ascii="gobCL" w:hAnsi="gobCL"/>
          <w:sz w:val="24"/>
          <w:szCs w:val="24"/>
        </w:rPr>
        <w:t>o, seg</w:t>
      </w:r>
      <w:r w:rsidRPr="006F1CD6">
        <w:rPr>
          <w:rFonts w:ascii="gobCL" w:hAnsi="gobCL" w:cs="gobCL"/>
          <w:sz w:val="24"/>
          <w:szCs w:val="24"/>
        </w:rPr>
        <w:t>ú</w:t>
      </w:r>
      <w:r w:rsidRPr="006F1CD6">
        <w:rPr>
          <w:rFonts w:ascii="gobCL" w:hAnsi="gobCL"/>
          <w:sz w:val="24"/>
          <w:szCs w:val="24"/>
        </w:rPr>
        <w:t>n Ley N</w:t>
      </w:r>
      <w:r w:rsidRPr="006F1CD6">
        <w:rPr>
          <w:rFonts w:ascii="gobCL" w:hAnsi="gobCL" w:cs="gobCL"/>
          <w:sz w:val="24"/>
          <w:szCs w:val="24"/>
        </w:rPr>
        <w:t xml:space="preserve">° </w:t>
      </w:r>
      <w:r w:rsidRPr="006F1CD6">
        <w:rPr>
          <w:rFonts w:ascii="gobCL" w:hAnsi="gobCL"/>
          <w:sz w:val="24"/>
          <w:szCs w:val="24"/>
        </w:rPr>
        <w:t xml:space="preserve">20.418, </w:t>
      </w:r>
      <w:r w:rsidRPr="006F1CD6">
        <w:rPr>
          <w:rFonts w:ascii="gobCL" w:hAnsi="gobCL"/>
          <w:bCs/>
          <w:sz w:val="24"/>
          <w:szCs w:val="24"/>
        </w:rPr>
        <w:t xml:space="preserve">¿es aceptable acompañar certificado del </w:t>
      </w:r>
      <w:proofErr w:type="spellStart"/>
      <w:r w:rsidRPr="006F1CD6">
        <w:rPr>
          <w:rFonts w:ascii="gobCL" w:hAnsi="gobCL"/>
          <w:bCs/>
          <w:sz w:val="24"/>
          <w:szCs w:val="24"/>
        </w:rPr>
        <w:t>SII</w:t>
      </w:r>
      <w:proofErr w:type="spellEnd"/>
      <w:r w:rsidRPr="006F1CD6">
        <w:rPr>
          <w:rFonts w:ascii="gobCL" w:hAnsi="gobCL"/>
          <w:bCs/>
          <w:sz w:val="24"/>
          <w:szCs w:val="24"/>
        </w:rPr>
        <w:t xml:space="preserve"> que establezca su calidad de empresa de menor tamaño,</w:t>
      </w:r>
      <w:r w:rsidRPr="006F1CD6">
        <w:rPr>
          <w:rFonts w:ascii="Courier New" w:hAnsi="Courier New" w:cs="Courier New"/>
          <w:bCs/>
          <w:sz w:val="24"/>
          <w:szCs w:val="24"/>
        </w:rPr>
        <w:t> </w:t>
      </w:r>
      <w:r w:rsidRPr="006F1CD6">
        <w:rPr>
          <w:rFonts w:ascii="gobCL" w:hAnsi="gobCL"/>
          <w:bCs/>
          <w:sz w:val="24"/>
          <w:szCs w:val="24"/>
        </w:rPr>
        <w:t xml:space="preserve"> en reemplazo de copia de 12 declaraciones de IVA del a</w:t>
      </w:r>
      <w:r w:rsidRPr="006F1CD6">
        <w:rPr>
          <w:rFonts w:ascii="gobCL" w:hAnsi="gobCL" w:cs="gobCL"/>
          <w:bCs/>
          <w:sz w:val="24"/>
          <w:szCs w:val="24"/>
        </w:rPr>
        <w:t>ñ</w:t>
      </w:r>
      <w:r w:rsidRPr="006F1CD6">
        <w:rPr>
          <w:rFonts w:ascii="gobCL" w:hAnsi="gobCL"/>
          <w:bCs/>
          <w:sz w:val="24"/>
          <w:szCs w:val="24"/>
        </w:rPr>
        <w:t>o 2018?</w:t>
      </w:r>
    </w:p>
    <w:p w:rsidR="009730F6" w:rsidRPr="006F1CD6" w:rsidRDefault="009730F6" w:rsidP="009730F6">
      <w:pPr>
        <w:spacing w:line="240" w:lineRule="auto"/>
        <w:jc w:val="both"/>
        <w:rPr>
          <w:rFonts w:ascii="gobCL" w:hAnsi="gobCL"/>
          <w:b/>
          <w:color w:val="1F497D" w:themeColor="text2"/>
          <w:sz w:val="24"/>
          <w:szCs w:val="24"/>
        </w:rPr>
      </w:pPr>
      <w:r w:rsidRPr="006F1CD6">
        <w:rPr>
          <w:rFonts w:ascii="gobCL" w:hAnsi="gobCL"/>
          <w:b/>
          <w:color w:val="1F497D" w:themeColor="text2"/>
          <w:sz w:val="24"/>
          <w:szCs w:val="24"/>
        </w:rPr>
        <w:t>Solo serán admisibles las copias de declaraciones de IVA del año 2018, debidamente autorizadas ante Notario.</w:t>
      </w:r>
    </w:p>
    <w:p w:rsidR="009730F6" w:rsidRPr="006F1CD6" w:rsidRDefault="00F0363F" w:rsidP="00064FF4">
      <w:pPr>
        <w:jc w:val="both"/>
        <w:rPr>
          <w:rFonts w:ascii="gobCL" w:hAnsi="gobCL"/>
          <w:sz w:val="24"/>
          <w:szCs w:val="24"/>
        </w:rPr>
      </w:pPr>
      <w:r w:rsidRPr="006F1CD6">
        <w:rPr>
          <w:rFonts w:ascii="gobCL" w:hAnsi="gobCL"/>
          <w:sz w:val="24"/>
          <w:szCs w:val="24"/>
        </w:rPr>
        <w:t>8</w:t>
      </w:r>
      <w:r w:rsidR="009730F6" w:rsidRPr="006F1CD6">
        <w:rPr>
          <w:rFonts w:ascii="gobCL" w:hAnsi="gobCL"/>
          <w:sz w:val="24"/>
          <w:szCs w:val="24"/>
        </w:rPr>
        <w:t xml:space="preserve">.- </w:t>
      </w:r>
      <w:r w:rsidR="00E8276F" w:rsidRPr="006F1CD6">
        <w:rPr>
          <w:rFonts w:ascii="gobCL" w:hAnsi="gobCL"/>
          <w:sz w:val="24"/>
          <w:szCs w:val="24"/>
        </w:rPr>
        <w:t>A</w:t>
      </w:r>
      <w:r w:rsidR="009730F6" w:rsidRPr="006F1CD6">
        <w:rPr>
          <w:rFonts w:ascii="gobCL" w:hAnsi="gobCL"/>
          <w:sz w:val="24"/>
          <w:szCs w:val="24"/>
        </w:rPr>
        <w:t xml:space="preserve">l punto nro. 8 letra e) de las bases de para licitaciones de </w:t>
      </w:r>
      <w:proofErr w:type="spellStart"/>
      <w:r w:rsidR="009730F6" w:rsidRPr="006F1CD6">
        <w:rPr>
          <w:rFonts w:ascii="gobCL" w:hAnsi="gobCL"/>
          <w:sz w:val="24"/>
          <w:szCs w:val="24"/>
        </w:rPr>
        <w:t>ltp</w:t>
      </w:r>
      <w:proofErr w:type="spellEnd"/>
      <w:r w:rsidR="009730F6" w:rsidRPr="006F1CD6">
        <w:rPr>
          <w:rFonts w:ascii="Courier New" w:hAnsi="Courier New" w:cs="Courier New"/>
          <w:sz w:val="24"/>
          <w:szCs w:val="24"/>
        </w:rPr>
        <w:t> </w:t>
      </w:r>
      <w:r w:rsidR="00E8276F" w:rsidRPr="006F1CD6">
        <w:rPr>
          <w:rFonts w:ascii="gobCL" w:hAnsi="gobCL"/>
          <w:sz w:val="24"/>
          <w:szCs w:val="24"/>
        </w:rPr>
        <w:t xml:space="preserve"> </w:t>
      </w:r>
      <w:r w:rsidR="009730F6" w:rsidRPr="006F1CD6">
        <w:rPr>
          <w:rFonts w:ascii="gobCL" w:hAnsi="gobCL"/>
          <w:sz w:val="24"/>
          <w:szCs w:val="24"/>
        </w:rPr>
        <w:t>¿</w:t>
      </w:r>
      <w:r w:rsidR="00E8276F" w:rsidRPr="006F1CD6">
        <w:rPr>
          <w:rFonts w:ascii="gobCL" w:hAnsi="gobCL"/>
          <w:sz w:val="24"/>
          <w:szCs w:val="24"/>
        </w:rPr>
        <w:t>Quién</w:t>
      </w:r>
      <w:r w:rsidR="009730F6" w:rsidRPr="006F1CD6">
        <w:rPr>
          <w:rFonts w:ascii="gobCL" w:hAnsi="gobCL"/>
          <w:sz w:val="24"/>
          <w:szCs w:val="24"/>
        </w:rPr>
        <w:t xml:space="preserve"> debe acompañar los antecedentes señalados, las pers</w:t>
      </w:r>
      <w:r w:rsidR="00E8276F" w:rsidRPr="006F1CD6">
        <w:rPr>
          <w:rFonts w:ascii="gobCL" w:hAnsi="gobCL"/>
          <w:sz w:val="24"/>
          <w:szCs w:val="24"/>
        </w:rPr>
        <w:t>onas naturales o jurídicas, las</w:t>
      </w:r>
      <w:r w:rsidR="009730F6" w:rsidRPr="006F1CD6">
        <w:rPr>
          <w:rFonts w:ascii="gobCL" w:hAnsi="gobCL"/>
          <w:sz w:val="24"/>
          <w:szCs w:val="24"/>
        </w:rPr>
        <w:t xml:space="preserve"> empresas chilenas o extranjeras, las de menor tamaño... favor especificar con todo detalle para entender qué están pidiendo exactamente y a quién</w:t>
      </w:r>
      <w:r w:rsidR="00E8276F" w:rsidRPr="006F1CD6">
        <w:rPr>
          <w:rFonts w:ascii="gobCL" w:hAnsi="gobCL"/>
          <w:sz w:val="24"/>
          <w:szCs w:val="24"/>
        </w:rPr>
        <w:t>?</w:t>
      </w:r>
    </w:p>
    <w:p w:rsidR="00E8276F" w:rsidRPr="006F1CD6" w:rsidRDefault="00E8276F" w:rsidP="00E8276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obCL" w:eastAsia="Times New Roman" w:hAnsi="gobCL" w:cs="Arial"/>
          <w:b/>
          <w:color w:val="1F497D" w:themeColor="text2"/>
          <w:sz w:val="24"/>
          <w:szCs w:val="24"/>
          <w:lang w:val="es-ES_tradnl" w:eastAsia="es-ES"/>
        </w:rPr>
      </w:pPr>
      <w:r w:rsidRPr="006F1CD6">
        <w:rPr>
          <w:rFonts w:ascii="gobCL" w:eastAsia="Times New Roman" w:hAnsi="gobCL" w:cs="Arial"/>
          <w:b/>
          <w:color w:val="1F497D" w:themeColor="text2"/>
          <w:sz w:val="24"/>
          <w:szCs w:val="24"/>
          <w:lang w:val="es-ES_tradnl" w:eastAsia="es-ES"/>
        </w:rPr>
        <w:t>El punto N° 8</w:t>
      </w:r>
      <w:r w:rsidR="00F0363F" w:rsidRPr="006F1CD6">
        <w:rPr>
          <w:rFonts w:ascii="gobCL" w:eastAsia="Times New Roman" w:hAnsi="gobCL" w:cs="Arial"/>
          <w:b/>
          <w:color w:val="1F497D" w:themeColor="text2"/>
          <w:sz w:val="24"/>
          <w:szCs w:val="24"/>
          <w:lang w:val="es-ES_tradnl" w:eastAsia="es-ES"/>
        </w:rPr>
        <w:t xml:space="preserve"> </w:t>
      </w:r>
      <w:r w:rsidRPr="006F1CD6">
        <w:rPr>
          <w:rFonts w:ascii="gobCL" w:eastAsia="Times New Roman" w:hAnsi="gobCL" w:cs="Arial"/>
          <w:b/>
          <w:color w:val="1F497D" w:themeColor="text2"/>
          <w:sz w:val="24"/>
          <w:szCs w:val="24"/>
          <w:lang w:val="es-ES_tradnl" w:eastAsia="es-ES"/>
        </w:rPr>
        <w:t>letra e) de las bases señala lo siguiente: “Acompañar copia de los antecedentes que permitan acreditar el cumplimiento de los requisitos señalados en las letras a) o b), según corresponda, del numeral 4 de las presentes bases”.</w:t>
      </w:r>
    </w:p>
    <w:p w:rsidR="00E8276F" w:rsidRPr="006F1CD6" w:rsidRDefault="00E8276F" w:rsidP="00E8276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obCL" w:eastAsia="Times New Roman" w:hAnsi="gobCL" w:cs="Arial"/>
          <w:b/>
          <w:color w:val="1F497D" w:themeColor="text2"/>
          <w:sz w:val="24"/>
          <w:szCs w:val="24"/>
          <w:lang w:val="es-ES_tradnl" w:eastAsia="es-ES"/>
        </w:rPr>
      </w:pPr>
    </w:p>
    <w:p w:rsidR="00E8276F" w:rsidRPr="006F1CD6" w:rsidRDefault="00E8276F" w:rsidP="00E8276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obCL" w:eastAsia="Times New Roman" w:hAnsi="gobCL" w:cs="Arial"/>
          <w:b/>
          <w:color w:val="1F497D" w:themeColor="text2"/>
          <w:sz w:val="24"/>
          <w:szCs w:val="24"/>
          <w:lang w:val="es-ES_tradnl" w:eastAsia="es-ES"/>
        </w:rPr>
      </w:pPr>
    </w:p>
    <w:p w:rsidR="00E8276F" w:rsidRPr="006F1CD6" w:rsidRDefault="00E8276F" w:rsidP="00E8276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obCL" w:eastAsia="Times New Roman" w:hAnsi="gobCL" w:cs="Arial"/>
          <w:b/>
          <w:color w:val="1F497D" w:themeColor="text2"/>
          <w:sz w:val="24"/>
          <w:szCs w:val="24"/>
          <w:lang w:val="es-ES_tradnl" w:eastAsia="es-ES"/>
        </w:rPr>
      </w:pPr>
      <w:r w:rsidRPr="006F1CD6">
        <w:rPr>
          <w:rFonts w:ascii="gobCL" w:eastAsia="Times New Roman" w:hAnsi="gobCL" w:cs="Arial"/>
          <w:b/>
          <w:color w:val="1F497D" w:themeColor="text2"/>
          <w:sz w:val="24"/>
          <w:szCs w:val="24"/>
          <w:lang w:val="es-ES_tradnl" w:eastAsia="es-ES"/>
        </w:rPr>
        <w:t xml:space="preserve">La remisión es al punto 4 </w:t>
      </w:r>
      <w:r w:rsidR="00F0363F" w:rsidRPr="006F1CD6">
        <w:rPr>
          <w:rFonts w:ascii="gobCL" w:eastAsia="Times New Roman" w:hAnsi="gobCL" w:cs="Arial"/>
          <w:b/>
          <w:color w:val="1F497D" w:themeColor="text2"/>
          <w:sz w:val="24"/>
          <w:szCs w:val="24"/>
          <w:lang w:val="es-ES_tradnl" w:eastAsia="es-ES"/>
        </w:rPr>
        <w:t xml:space="preserve">de las bases </w:t>
      </w:r>
      <w:r w:rsidRPr="006F1CD6">
        <w:rPr>
          <w:rFonts w:ascii="gobCL" w:eastAsia="Times New Roman" w:hAnsi="gobCL" w:cs="Arial"/>
          <w:b/>
          <w:color w:val="1F497D" w:themeColor="text2"/>
          <w:sz w:val="24"/>
          <w:szCs w:val="24"/>
          <w:lang w:val="es-ES_tradnl" w:eastAsia="es-ES"/>
        </w:rPr>
        <w:t>denominado PARTICIPANTES que señala: - Podrán participar en la subasta, de conformidad a lo dispuesto en el artículo 4° del Reglamento:</w:t>
      </w:r>
    </w:p>
    <w:p w:rsidR="00E8276F" w:rsidRPr="006F1CD6" w:rsidRDefault="00E8276F" w:rsidP="00E8276F">
      <w:pPr>
        <w:overflowPunct w:val="0"/>
        <w:autoSpaceDE w:val="0"/>
        <w:autoSpaceDN w:val="0"/>
        <w:adjustRightInd w:val="0"/>
        <w:spacing w:after="0" w:line="240" w:lineRule="auto"/>
        <w:ind w:left="1560"/>
        <w:contextualSpacing/>
        <w:jc w:val="both"/>
        <w:textAlignment w:val="baseline"/>
        <w:rPr>
          <w:rFonts w:ascii="gobCL" w:eastAsia="Times New Roman" w:hAnsi="gobCL" w:cs="Arial"/>
          <w:b/>
          <w:color w:val="1F497D" w:themeColor="text2"/>
          <w:sz w:val="24"/>
          <w:szCs w:val="24"/>
          <w:lang w:val="es-ES_tradnl" w:eastAsia="es-ES"/>
        </w:rPr>
      </w:pPr>
    </w:p>
    <w:p w:rsidR="00E8276F" w:rsidRPr="006F1CD6" w:rsidRDefault="00E8276F" w:rsidP="00E8276F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textAlignment w:val="baseline"/>
        <w:rPr>
          <w:rFonts w:ascii="gobCL" w:eastAsia="Times New Roman" w:hAnsi="gobCL" w:cs="Arial"/>
          <w:b/>
          <w:color w:val="1F497D" w:themeColor="text2"/>
          <w:sz w:val="24"/>
          <w:szCs w:val="24"/>
          <w:lang w:val="es-ES_tradnl" w:eastAsia="es-ES"/>
        </w:rPr>
      </w:pPr>
      <w:r w:rsidRPr="006F1CD6">
        <w:rPr>
          <w:rFonts w:ascii="gobCL" w:eastAsia="Times New Roman" w:hAnsi="gobCL" w:cs="Arial"/>
          <w:b/>
          <w:color w:val="1F497D" w:themeColor="text2"/>
          <w:sz w:val="24"/>
          <w:szCs w:val="24"/>
          <w:lang w:val="es-ES_tradnl" w:eastAsia="es-ES"/>
        </w:rPr>
        <w:t>a) Las personas naturales chilenas y extranjeras con residencia definitiva en el país.</w:t>
      </w:r>
    </w:p>
    <w:p w:rsidR="00E8276F" w:rsidRPr="006F1CD6" w:rsidRDefault="00E8276F" w:rsidP="00E8276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obCL" w:eastAsia="Times New Roman" w:hAnsi="gobCL" w:cs="Arial"/>
          <w:b/>
          <w:color w:val="1F497D" w:themeColor="text2"/>
          <w:sz w:val="24"/>
          <w:szCs w:val="24"/>
          <w:lang w:val="es-ES_tradnl" w:eastAsia="es-ES"/>
        </w:rPr>
      </w:pPr>
    </w:p>
    <w:p w:rsidR="00E8276F" w:rsidRPr="006F1CD6" w:rsidRDefault="00E8276F" w:rsidP="00E8276F">
      <w:pPr>
        <w:overflowPunct w:val="0"/>
        <w:autoSpaceDE w:val="0"/>
        <w:autoSpaceDN w:val="0"/>
        <w:adjustRightInd w:val="0"/>
        <w:spacing w:after="0" w:line="240" w:lineRule="auto"/>
        <w:ind w:left="708"/>
        <w:contextualSpacing/>
        <w:jc w:val="both"/>
        <w:textAlignment w:val="baseline"/>
        <w:rPr>
          <w:rFonts w:ascii="gobCL" w:eastAsia="Times New Roman" w:hAnsi="gobCL" w:cs="Arial"/>
          <w:b/>
          <w:color w:val="1F497D" w:themeColor="text2"/>
          <w:sz w:val="24"/>
          <w:szCs w:val="24"/>
          <w:lang w:val="es-ES_tradnl" w:eastAsia="es-ES"/>
        </w:rPr>
      </w:pPr>
      <w:r w:rsidRPr="006F1CD6">
        <w:rPr>
          <w:rFonts w:ascii="gobCL" w:eastAsia="Times New Roman" w:hAnsi="gobCL" w:cs="Arial"/>
          <w:b/>
          <w:color w:val="1F497D" w:themeColor="text2"/>
          <w:sz w:val="24"/>
          <w:szCs w:val="24"/>
          <w:lang w:val="es-ES_tradnl" w:eastAsia="es-ES"/>
        </w:rPr>
        <w:t xml:space="preserve">b) Las personas jurídicas constituidas legalmente en Chile. Tratándose de aquéllas que cuenten con capital extranjero deberán acreditar el hecho de haber sido autorizada esta inversión en forma previa a la subasta, y en el caso de aquéllas sean titulares de autorizaciones de pesca, se entenderá acreditada la mencionada inversión en la medida que se cumplan los requisitos contenidos en los artículos 17 y 28 B de la Ley de Pesca. </w:t>
      </w:r>
    </w:p>
    <w:p w:rsidR="00E8276F" w:rsidRPr="006F1CD6" w:rsidRDefault="00E8276F" w:rsidP="00E8276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obCL" w:eastAsia="Times New Roman" w:hAnsi="gobCL" w:cs="Arial"/>
          <w:b/>
          <w:color w:val="1F497D" w:themeColor="text2"/>
          <w:sz w:val="24"/>
          <w:szCs w:val="24"/>
          <w:lang w:val="es-ES_tradnl" w:eastAsia="es-ES"/>
        </w:rPr>
      </w:pPr>
    </w:p>
    <w:p w:rsidR="00E8276F" w:rsidRPr="006F1CD6" w:rsidRDefault="00E8276F" w:rsidP="00E8276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obCL" w:eastAsia="Times New Roman" w:hAnsi="gobCL" w:cs="Arial"/>
          <w:b/>
          <w:color w:val="1F497D" w:themeColor="text2"/>
          <w:sz w:val="24"/>
          <w:szCs w:val="24"/>
          <w:lang w:val="es-ES_tradnl" w:eastAsia="es-ES"/>
        </w:rPr>
      </w:pPr>
      <w:r w:rsidRPr="006F1CD6">
        <w:rPr>
          <w:rFonts w:ascii="gobCL" w:eastAsia="Times New Roman" w:hAnsi="gobCL" w:cs="Arial"/>
          <w:b/>
          <w:color w:val="1F497D" w:themeColor="text2"/>
          <w:sz w:val="24"/>
          <w:szCs w:val="24"/>
          <w:lang w:val="es-ES_tradnl" w:eastAsia="es-ES"/>
        </w:rPr>
        <w:t xml:space="preserve">Por lo tanto, las </w:t>
      </w:r>
      <w:r w:rsidRPr="006F1CD6">
        <w:rPr>
          <w:rFonts w:ascii="gobCL" w:eastAsia="Times New Roman" w:hAnsi="gobCL" w:cs="Arial"/>
          <w:b/>
          <w:color w:val="1F497D" w:themeColor="text2"/>
          <w:sz w:val="24"/>
          <w:szCs w:val="24"/>
          <w:u w:val="single"/>
          <w:lang w:val="es-ES_tradnl" w:eastAsia="es-ES"/>
        </w:rPr>
        <w:t>personas naturales y extranjeras</w:t>
      </w:r>
      <w:r w:rsidRPr="006F1CD6">
        <w:rPr>
          <w:rFonts w:ascii="gobCL" w:eastAsia="Times New Roman" w:hAnsi="gobCL" w:cs="Arial"/>
          <w:b/>
          <w:color w:val="1F497D" w:themeColor="text2"/>
          <w:sz w:val="24"/>
          <w:szCs w:val="24"/>
          <w:lang w:val="es-ES_tradnl" w:eastAsia="es-ES"/>
        </w:rPr>
        <w:t xml:space="preserve"> deberán acreditar tener residencia definitiva en el país a través de cualquier medio (ejemplo: copia de cédula de identidad).</w:t>
      </w:r>
    </w:p>
    <w:p w:rsidR="00E8276F" w:rsidRPr="006F1CD6" w:rsidRDefault="00E8276F" w:rsidP="00E8276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obCL" w:eastAsia="Times New Roman" w:hAnsi="gobCL" w:cs="Arial"/>
          <w:b/>
          <w:color w:val="1F497D" w:themeColor="text2"/>
          <w:sz w:val="24"/>
          <w:szCs w:val="24"/>
          <w:lang w:val="es-ES_tradnl" w:eastAsia="es-ES"/>
        </w:rPr>
      </w:pPr>
    </w:p>
    <w:p w:rsidR="00E8276F" w:rsidRPr="006F1CD6" w:rsidRDefault="00E8276F" w:rsidP="00E8276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obCL" w:eastAsia="Times New Roman" w:hAnsi="gobCL" w:cs="Arial"/>
          <w:b/>
          <w:color w:val="1F497D" w:themeColor="text2"/>
          <w:sz w:val="24"/>
          <w:szCs w:val="24"/>
          <w:lang w:val="es-ES_tradnl" w:eastAsia="es-ES"/>
        </w:rPr>
      </w:pPr>
      <w:r w:rsidRPr="006F1CD6">
        <w:rPr>
          <w:rFonts w:ascii="gobCL" w:eastAsia="Times New Roman" w:hAnsi="gobCL" w:cs="Arial"/>
          <w:b/>
          <w:color w:val="1F497D" w:themeColor="text2"/>
          <w:sz w:val="24"/>
          <w:szCs w:val="24"/>
          <w:lang w:val="es-ES_tradnl" w:eastAsia="es-ES"/>
        </w:rPr>
        <w:t xml:space="preserve">Mientras que las </w:t>
      </w:r>
      <w:r w:rsidRPr="006F1CD6">
        <w:rPr>
          <w:rFonts w:ascii="gobCL" w:eastAsia="Times New Roman" w:hAnsi="gobCL" w:cs="Arial"/>
          <w:b/>
          <w:color w:val="1F497D" w:themeColor="text2"/>
          <w:sz w:val="24"/>
          <w:szCs w:val="24"/>
          <w:u w:val="single"/>
          <w:lang w:val="es-ES_tradnl" w:eastAsia="es-ES"/>
        </w:rPr>
        <w:t xml:space="preserve">personas </w:t>
      </w:r>
      <w:proofErr w:type="gramStart"/>
      <w:r w:rsidRPr="006F1CD6">
        <w:rPr>
          <w:rFonts w:ascii="gobCL" w:eastAsia="Times New Roman" w:hAnsi="gobCL" w:cs="Arial"/>
          <w:b/>
          <w:color w:val="1F497D" w:themeColor="text2"/>
          <w:sz w:val="24"/>
          <w:szCs w:val="24"/>
          <w:u w:val="single"/>
          <w:lang w:val="es-ES_tradnl" w:eastAsia="es-ES"/>
        </w:rPr>
        <w:t>jurídica</w:t>
      </w:r>
      <w:r w:rsidR="00F0363F" w:rsidRPr="006F1CD6">
        <w:rPr>
          <w:rFonts w:ascii="gobCL" w:eastAsia="Times New Roman" w:hAnsi="gobCL" w:cs="Arial"/>
          <w:b/>
          <w:color w:val="1F497D" w:themeColor="text2"/>
          <w:sz w:val="24"/>
          <w:szCs w:val="24"/>
          <w:u w:val="single"/>
          <w:lang w:val="es-ES_tradnl" w:eastAsia="es-ES"/>
        </w:rPr>
        <w:t>s</w:t>
      </w:r>
      <w:proofErr w:type="gramEnd"/>
      <w:r w:rsidRPr="006F1CD6">
        <w:rPr>
          <w:rFonts w:ascii="gobCL" w:eastAsia="Times New Roman" w:hAnsi="gobCL" w:cs="Arial"/>
          <w:b/>
          <w:color w:val="1F497D" w:themeColor="text2"/>
          <w:sz w:val="24"/>
          <w:szCs w:val="24"/>
          <w:lang w:val="es-ES_tradnl" w:eastAsia="es-ES"/>
        </w:rPr>
        <w:t xml:space="preserve"> deben acreditar por cualquier medio que están constituid</w:t>
      </w:r>
      <w:r w:rsidR="00F0363F" w:rsidRPr="006F1CD6">
        <w:rPr>
          <w:rFonts w:ascii="gobCL" w:eastAsia="Times New Roman" w:hAnsi="gobCL" w:cs="Arial"/>
          <w:b/>
          <w:color w:val="1F497D" w:themeColor="text2"/>
          <w:sz w:val="24"/>
          <w:szCs w:val="24"/>
          <w:lang w:val="es-ES_tradnl" w:eastAsia="es-ES"/>
        </w:rPr>
        <w:t>a</w:t>
      </w:r>
      <w:r w:rsidRPr="006F1CD6">
        <w:rPr>
          <w:rFonts w:ascii="gobCL" w:eastAsia="Times New Roman" w:hAnsi="gobCL" w:cs="Arial"/>
          <w:b/>
          <w:color w:val="1F497D" w:themeColor="text2"/>
          <w:sz w:val="24"/>
          <w:szCs w:val="24"/>
          <w:lang w:val="es-ES_tradnl" w:eastAsia="es-ES"/>
        </w:rPr>
        <w:t>s en Chile. (Ejemplo certificado de vigencia).</w:t>
      </w:r>
    </w:p>
    <w:p w:rsidR="00E8276F" w:rsidRPr="006F1CD6" w:rsidRDefault="00E8276F" w:rsidP="00E8276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obCL" w:eastAsia="Times New Roman" w:hAnsi="gobCL" w:cs="Arial"/>
          <w:b/>
          <w:color w:val="1F497D" w:themeColor="text2"/>
          <w:sz w:val="24"/>
          <w:szCs w:val="24"/>
          <w:lang w:val="es-ES_tradnl" w:eastAsia="es-ES"/>
        </w:rPr>
      </w:pPr>
    </w:p>
    <w:p w:rsidR="00F0363F" w:rsidRPr="006F1CD6" w:rsidRDefault="00F0363F" w:rsidP="00F0363F">
      <w:pPr>
        <w:spacing w:line="240" w:lineRule="auto"/>
        <w:jc w:val="both"/>
        <w:rPr>
          <w:rFonts w:ascii="gobCL" w:eastAsia="Times New Roman" w:hAnsi="gobCL"/>
          <w:b/>
          <w:color w:val="1F497D" w:themeColor="text2"/>
          <w:sz w:val="24"/>
          <w:szCs w:val="24"/>
        </w:rPr>
      </w:pPr>
      <w:r w:rsidRPr="006F1CD6">
        <w:rPr>
          <w:rFonts w:ascii="gobCL" w:eastAsia="Times New Roman" w:hAnsi="gobCL"/>
          <w:b/>
          <w:color w:val="1F497D" w:themeColor="text2"/>
          <w:sz w:val="24"/>
          <w:szCs w:val="24"/>
        </w:rPr>
        <w:t xml:space="preserve">Las </w:t>
      </w:r>
      <w:r w:rsidRPr="006F1CD6">
        <w:rPr>
          <w:rFonts w:ascii="gobCL" w:eastAsia="Times New Roman" w:hAnsi="gobCL"/>
          <w:b/>
          <w:color w:val="1F497D" w:themeColor="text2"/>
          <w:sz w:val="24"/>
          <w:szCs w:val="24"/>
          <w:u w:val="single"/>
        </w:rPr>
        <w:t>personas jurídicas con capital extranjero</w:t>
      </w:r>
      <w:r w:rsidRPr="006F1CD6">
        <w:rPr>
          <w:rFonts w:ascii="gobCL" w:eastAsia="Times New Roman" w:hAnsi="gobCL"/>
          <w:b/>
          <w:color w:val="1F497D" w:themeColor="text2"/>
          <w:sz w:val="24"/>
          <w:szCs w:val="24"/>
        </w:rPr>
        <w:t xml:space="preserve"> deben acreditar haber autorizado la inversión en forma previa a la subasta; si esas personas jurídicas son titulares de autorizaciones de pesca, se entenderá acreditada dicha inversión </w:t>
      </w:r>
      <w:r w:rsidRPr="006F1CD6">
        <w:rPr>
          <w:rFonts w:ascii="gobCL" w:eastAsia="Times New Roman" w:hAnsi="gobCL"/>
          <w:b/>
          <w:bCs/>
          <w:color w:val="1F497D" w:themeColor="text2"/>
          <w:sz w:val="24"/>
          <w:szCs w:val="24"/>
        </w:rPr>
        <w:t>“</w:t>
      </w:r>
      <w:r w:rsidRPr="006F1CD6">
        <w:rPr>
          <w:rFonts w:ascii="gobCL" w:eastAsia="Times New Roman" w:hAnsi="gobCL"/>
          <w:b/>
          <w:bCs/>
          <w:i/>
          <w:iCs/>
          <w:color w:val="1F497D" w:themeColor="text2"/>
          <w:sz w:val="24"/>
          <w:szCs w:val="24"/>
        </w:rPr>
        <w:t>en la medida que se cumplan los requisitos contenidos en los artículos 17 y 28 b de la Ley de Pesca y Acuicultura</w:t>
      </w:r>
      <w:r w:rsidRPr="006F1CD6">
        <w:rPr>
          <w:rFonts w:ascii="gobCL" w:eastAsia="Times New Roman" w:hAnsi="gobCL"/>
          <w:b/>
          <w:bCs/>
          <w:color w:val="1F497D" w:themeColor="text2"/>
          <w:sz w:val="24"/>
          <w:szCs w:val="24"/>
        </w:rPr>
        <w:t>”</w:t>
      </w:r>
    </w:p>
    <w:p w:rsidR="00F0363F" w:rsidRPr="006F1CD6" w:rsidRDefault="00F0363F" w:rsidP="00F0363F">
      <w:pPr>
        <w:spacing w:line="240" w:lineRule="auto"/>
        <w:jc w:val="both"/>
        <w:rPr>
          <w:rFonts w:ascii="gobCL" w:eastAsia="Times New Roman" w:hAnsi="gobCL"/>
          <w:b/>
          <w:color w:val="1F497D" w:themeColor="text2"/>
          <w:sz w:val="24"/>
          <w:szCs w:val="24"/>
        </w:rPr>
      </w:pPr>
      <w:r w:rsidRPr="006F1CD6">
        <w:rPr>
          <w:rFonts w:ascii="gobCL" w:eastAsia="Times New Roman" w:hAnsi="gobCL"/>
          <w:b/>
          <w:color w:val="1F497D" w:themeColor="text2"/>
          <w:sz w:val="24"/>
          <w:szCs w:val="24"/>
        </w:rPr>
        <w:t>El sentido de esta última frase, es como señala el artículo 4° del reglamento de subasta “</w:t>
      </w:r>
      <w:r w:rsidRPr="006F1CD6">
        <w:rPr>
          <w:rFonts w:ascii="gobCL" w:eastAsia="Times New Roman" w:hAnsi="gobCL"/>
          <w:b/>
          <w:i/>
          <w:color w:val="1F497D" w:themeColor="text2"/>
          <w:sz w:val="24"/>
          <w:szCs w:val="24"/>
        </w:rPr>
        <w:t>en el caso de las personas jurídicas en que hubiera capital extranjero y que sean titulares de autorizaciones de pesca, se entenderá acreditada la mencionada inversión en la medida que se cumplan los requisitos contenidos en los artículos 17 y 28 B de la Ley General Pesca y Acuicultura</w:t>
      </w:r>
      <w:r w:rsidRPr="006F1CD6">
        <w:rPr>
          <w:rFonts w:ascii="gobCL" w:eastAsia="Times New Roman" w:hAnsi="gobCL"/>
          <w:b/>
          <w:color w:val="1F497D" w:themeColor="text2"/>
          <w:sz w:val="24"/>
          <w:szCs w:val="24"/>
        </w:rPr>
        <w:t>”.</w:t>
      </w:r>
    </w:p>
    <w:p w:rsidR="00F0363F" w:rsidRPr="006F1CD6" w:rsidRDefault="00F0363F" w:rsidP="00F0363F">
      <w:pPr>
        <w:spacing w:line="240" w:lineRule="auto"/>
        <w:jc w:val="both"/>
        <w:rPr>
          <w:rFonts w:ascii="gobCL" w:eastAsia="Times New Roman" w:hAnsi="gobCL"/>
          <w:b/>
          <w:color w:val="1F497D" w:themeColor="text2"/>
          <w:sz w:val="24"/>
          <w:szCs w:val="24"/>
        </w:rPr>
      </w:pPr>
      <w:r w:rsidRPr="006F1CD6">
        <w:rPr>
          <w:rFonts w:ascii="gobCL" w:eastAsia="Times New Roman" w:hAnsi="gobCL"/>
          <w:b/>
          <w:color w:val="1F497D" w:themeColor="text2"/>
          <w:sz w:val="24"/>
          <w:szCs w:val="24"/>
        </w:rPr>
        <w:t xml:space="preserve">Para estos efectos la empresa deberá acompañar copia de autorizaciones de pesca vigente debidamente autorizadas ante notario y de su respectiva inscripción vigente en el </w:t>
      </w:r>
      <w:proofErr w:type="spellStart"/>
      <w:r w:rsidRPr="006F1CD6">
        <w:rPr>
          <w:rFonts w:ascii="gobCL" w:eastAsia="Times New Roman" w:hAnsi="gobCL"/>
          <w:b/>
          <w:color w:val="1F497D" w:themeColor="text2"/>
          <w:sz w:val="24"/>
          <w:szCs w:val="24"/>
        </w:rPr>
        <w:t>RPI</w:t>
      </w:r>
      <w:proofErr w:type="spellEnd"/>
      <w:r w:rsidRPr="006F1CD6">
        <w:rPr>
          <w:rFonts w:ascii="gobCL" w:eastAsia="Times New Roman" w:hAnsi="gobCL"/>
          <w:b/>
          <w:color w:val="1F497D" w:themeColor="text2"/>
          <w:sz w:val="24"/>
          <w:szCs w:val="24"/>
        </w:rPr>
        <w:t>, con una vigencia no mayor a 30 días hábiles.</w:t>
      </w:r>
    </w:p>
    <w:p w:rsidR="009730F6" w:rsidRPr="006F1CD6" w:rsidRDefault="009730F6" w:rsidP="009730F6">
      <w:pPr>
        <w:rPr>
          <w:rFonts w:ascii="gobCL" w:hAnsi="gobCL"/>
          <w:sz w:val="24"/>
          <w:szCs w:val="24"/>
        </w:rPr>
      </w:pPr>
    </w:p>
    <w:p w:rsidR="009730F6" w:rsidRPr="006F1CD6" w:rsidRDefault="00F0363F" w:rsidP="006F1CD6">
      <w:pPr>
        <w:jc w:val="both"/>
        <w:rPr>
          <w:rFonts w:ascii="gobCL" w:hAnsi="gobCL"/>
          <w:sz w:val="24"/>
          <w:szCs w:val="24"/>
        </w:rPr>
      </w:pPr>
      <w:r w:rsidRPr="006F1CD6">
        <w:rPr>
          <w:rFonts w:ascii="gobCL" w:hAnsi="gobCL"/>
          <w:sz w:val="24"/>
          <w:szCs w:val="24"/>
        </w:rPr>
        <w:lastRenderedPageBreak/>
        <w:t xml:space="preserve">9.- </w:t>
      </w:r>
      <w:r w:rsidR="00E8276F" w:rsidRPr="006F1CD6">
        <w:rPr>
          <w:rFonts w:ascii="gobCL" w:hAnsi="gobCL"/>
          <w:sz w:val="24"/>
          <w:szCs w:val="24"/>
        </w:rPr>
        <w:t>Referente</w:t>
      </w:r>
      <w:r w:rsidR="009730F6" w:rsidRPr="006F1CD6">
        <w:rPr>
          <w:rFonts w:ascii="gobCL" w:hAnsi="gobCL"/>
          <w:sz w:val="24"/>
          <w:szCs w:val="24"/>
        </w:rPr>
        <w:t xml:space="preserve"> a la </w:t>
      </w:r>
      <w:r w:rsidR="00E8276F" w:rsidRPr="006F1CD6">
        <w:rPr>
          <w:rFonts w:ascii="gobCL" w:hAnsi="gobCL"/>
          <w:sz w:val="24"/>
          <w:szCs w:val="24"/>
        </w:rPr>
        <w:t>declaración</w:t>
      </w:r>
      <w:r w:rsidR="009730F6" w:rsidRPr="006F1CD6">
        <w:rPr>
          <w:rFonts w:ascii="gobCL" w:hAnsi="gobCL"/>
          <w:sz w:val="24"/>
          <w:szCs w:val="24"/>
        </w:rPr>
        <w:t xml:space="preserve"> notarial de relación societaria de persona jurídica, ¿es necesario especi</w:t>
      </w:r>
      <w:r w:rsidR="00E8276F" w:rsidRPr="006F1CD6">
        <w:rPr>
          <w:rFonts w:ascii="gobCL" w:hAnsi="gobCL"/>
          <w:sz w:val="24"/>
          <w:szCs w:val="24"/>
        </w:rPr>
        <w:t>ficar a qué recurso y en qué un</w:t>
      </w:r>
      <w:r w:rsidR="009730F6" w:rsidRPr="006F1CD6">
        <w:rPr>
          <w:rFonts w:ascii="gobCL" w:hAnsi="gobCL"/>
          <w:sz w:val="24"/>
          <w:szCs w:val="24"/>
        </w:rPr>
        <w:t xml:space="preserve">idad de pesquería se refiere la subasta a la que se hace alusión?, o basta que el texto diga subasta solamente, tal como viene el formato redactado que está en el sitio web de la </w:t>
      </w:r>
      <w:r w:rsidRPr="006F1CD6">
        <w:rPr>
          <w:rFonts w:ascii="gobCL" w:hAnsi="gobCL"/>
          <w:sz w:val="24"/>
          <w:szCs w:val="24"/>
        </w:rPr>
        <w:t>SubPesca?</w:t>
      </w:r>
    </w:p>
    <w:p w:rsidR="00F0363F" w:rsidRPr="006F1CD6" w:rsidRDefault="00F0363F" w:rsidP="006F1CD6">
      <w:pPr>
        <w:jc w:val="both"/>
        <w:rPr>
          <w:rFonts w:ascii="gobCL" w:hAnsi="gobCL"/>
          <w:b/>
          <w:color w:val="1F497D" w:themeColor="text2"/>
          <w:sz w:val="24"/>
          <w:szCs w:val="24"/>
        </w:rPr>
      </w:pPr>
      <w:r w:rsidRPr="006F1CD6">
        <w:rPr>
          <w:rFonts w:ascii="gobCL" w:hAnsi="gobCL"/>
          <w:b/>
          <w:color w:val="1F497D" w:themeColor="text2"/>
          <w:sz w:val="24"/>
          <w:szCs w:val="24"/>
        </w:rPr>
        <w:t xml:space="preserve">No es necesario especificar la pesquería, pero siempre resguardando que la declaración jurada vaya en el sobre 1 “Antecedentes Administrativos” respectivo. </w:t>
      </w:r>
    </w:p>
    <w:p w:rsidR="00F0363F" w:rsidRPr="006F1CD6" w:rsidRDefault="00F0363F" w:rsidP="006F1CD6">
      <w:pPr>
        <w:jc w:val="both"/>
        <w:rPr>
          <w:rFonts w:ascii="gobCL" w:hAnsi="gobCL"/>
          <w:b/>
          <w:color w:val="1F497D" w:themeColor="text2"/>
          <w:sz w:val="24"/>
          <w:szCs w:val="24"/>
        </w:rPr>
      </w:pPr>
      <w:r w:rsidRPr="006F1CD6">
        <w:rPr>
          <w:rFonts w:ascii="gobCL" w:hAnsi="gobCL"/>
          <w:b/>
          <w:color w:val="1F497D" w:themeColor="text2"/>
          <w:sz w:val="24"/>
          <w:szCs w:val="24"/>
        </w:rPr>
        <w:t xml:space="preserve">Por </w:t>
      </w:r>
      <w:r w:rsidR="00935633" w:rsidRPr="006F1CD6">
        <w:rPr>
          <w:rFonts w:ascii="gobCL" w:hAnsi="gobCL"/>
          <w:b/>
          <w:color w:val="1F497D" w:themeColor="text2"/>
          <w:sz w:val="24"/>
          <w:szCs w:val="24"/>
        </w:rPr>
        <w:t>lo que</w:t>
      </w:r>
      <w:r w:rsidRPr="006F1CD6">
        <w:rPr>
          <w:rFonts w:ascii="gobCL" w:hAnsi="gobCL"/>
          <w:b/>
          <w:color w:val="1F497D" w:themeColor="text2"/>
          <w:sz w:val="24"/>
          <w:szCs w:val="24"/>
        </w:rPr>
        <w:t xml:space="preserve"> se puede utilizar el formato guía subido en la web. </w:t>
      </w:r>
    </w:p>
    <w:p w:rsidR="006F1CD6" w:rsidRPr="006F1CD6" w:rsidRDefault="006F1CD6" w:rsidP="006F1CD6">
      <w:pPr>
        <w:jc w:val="both"/>
        <w:rPr>
          <w:rFonts w:ascii="gobCL" w:eastAsia="Times New Roman" w:hAnsi="gobCL"/>
          <w:color w:val="000000"/>
          <w:sz w:val="24"/>
          <w:szCs w:val="24"/>
        </w:rPr>
      </w:pPr>
      <w:r w:rsidRPr="006F1CD6">
        <w:rPr>
          <w:rFonts w:ascii="gobCL" w:eastAsia="Times New Roman" w:hAnsi="gobCL"/>
          <w:color w:val="000000"/>
          <w:sz w:val="24"/>
          <w:szCs w:val="24"/>
        </w:rPr>
        <w:t>10.- ¿Es posible enviar los tres sobres por correo certificado, o podría ir entregar los sobres una persona distinta al oferente de la subasta?</w:t>
      </w:r>
    </w:p>
    <w:p w:rsidR="006F1CD6" w:rsidRDefault="006F1CD6" w:rsidP="006F1CD6">
      <w:pPr>
        <w:spacing w:line="240" w:lineRule="auto"/>
        <w:jc w:val="both"/>
        <w:rPr>
          <w:rFonts w:ascii="gobCL" w:hAnsi="gobCL"/>
          <w:b/>
          <w:color w:val="1F497D" w:themeColor="text2"/>
          <w:sz w:val="24"/>
          <w:szCs w:val="24"/>
        </w:rPr>
      </w:pPr>
      <w:r w:rsidRPr="006F1CD6">
        <w:rPr>
          <w:rFonts w:ascii="gobCL" w:hAnsi="gobCL"/>
          <w:b/>
          <w:color w:val="1F497D" w:themeColor="text2"/>
          <w:sz w:val="24"/>
          <w:szCs w:val="24"/>
        </w:rPr>
        <w:t>Ambas situaciones son posibles, cuida</w:t>
      </w:r>
      <w:r>
        <w:rPr>
          <w:rFonts w:ascii="gobCL" w:hAnsi="gobCL"/>
          <w:b/>
          <w:color w:val="1F497D" w:themeColor="text2"/>
          <w:sz w:val="24"/>
          <w:szCs w:val="24"/>
        </w:rPr>
        <w:t>n</w:t>
      </w:r>
      <w:r w:rsidRPr="006F1CD6">
        <w:rPr>
          <w:rFonts w:ascii="gobCL" w:hAnsi="gobCL"/>
          <w:b/>
          <w:color w:val="1F497D" w:themeColor="text2"/>
          <w:sz w:val="24"/>
          <w:szCs w:val="24"/>
        </w:rPr>
        <w:t>do siempre de cumplir con los plazos</w:t>
      </w:r>
      <w:r>
        <w:rPr>
          <w:rFonts w:ascii="gobCL" w:hAnsi="gobCL"/>
          <w:b/>
          <w:color w:val="1F497D" w:themeColor="text2"/>
          <w:sz w:val="24"/>
          <w:szCs w:val="24"/>
        </w:rPr>
        <w:t xml:space="preserve"> y</w:t>
      </w:r>
      <w:r w:rsidRPr="006F1CD6">
        <w:rPr>
          <w:rFonts w:ascii="gobCL" w:hAnsi="gobCL"/>
          <w:b/>
          <w:color w:val="1F497D" w:themeColor="text2"/>
          <w:sz w:val="24"/>
          <w:szCs w:val="24"/>
        </w:rPr>
        <w:t xml:space="preserve"> </w:t>
      </w:r>
      <w:r>
        <w:rPr>
          <w:rFonts w:ascii="gobCL" w:hAnsi="gobCL"/>
          <w:b/>
          <w:color w:val="1F497D" w:themeColor="text2"/>
          <w:sz w:val="24"/>
          <w:szCs w:val="24"/>
        </w:rPr>
        <w:t>requisitos señalados</w:t>
      </w:r>
      <w:r w:rsidRPr="006F1CD6">
        <w:rPr>
          <w:rFonts w:ascii="gobCL" w:hAnsi="gobCL"/>
          <w:b/>
          <w:color w:val="1F497D" w:themeColor="text2"/>
          <w:sz w:val="24"/>
          <w:szCs w:val="24"/>
        </w:rPr>
        <w:t xml:space="preserve"> en las bases.</w:t>
      </w:r>
    </w:p>
    <w:p w:rsidR="006F1CD6" w:rsidRPr="006F1CD6" w:rsidRDefault="006F1CD6" w:rsidP="006F1CD6">
      <w:pPr>
        <w:rPr>
          <w:rFonts w:ascii="gobCL" w:hAnsi="gobCL"/>
          <w:sz w:val="24"/>
          <w:szCs w:val="24"/>
        </w:rPr>
      </w:pPr>
      <w:r w:rsidRPr="006F1CD6">
        <w:rPr>
          <w:rFonts w:ascii="gobCL" w:hAnsi="gobCL"/>
          <w:sz w:val="24"/>
          <w:szCs w:val="24"/>
        </w:rPr>
        <w:t>11.- ¿El vale vista que debe dejarse en garantía debe ser nominativo o puede ser a la orden?</w:t>
      </w:r>
    </w:p>
    <w:p w:rsidR="006F1CD6" w:rsidRDefault="006F1CD6" w:rsidP="006F1CD6">
      <w:pPr>
        <w:pStyle w:val="Textosinformato"/>
        <w:jc w:val="both"/>
        <w:rPr>
          <w:rFonts w:ascii="gobCL" w:hAnsi="gobCL"/>
          <w:b/>
          <w:bCs/>
          <w:color w:val="1F497D"/>
          <w:sz w:val="24"/>
          <w:szCs w:val="24"/>
          <w:lang w:val="es-ES_tradnl" w:eastAsia="es-ES"/>
        </w:rPr>
      </w:pPr>
      <w:r>
        <w:rPr>
          <w:rFonts w:ascii="gobCL" w:hAnsi="gobCL"/>
          <w:b/>
          <w:bCs/>
          <w:color w:val="1F497D"/>
          <w:sz w:val="24"/>
          <w:szCs w:val="24"/>
          <w:lang w:val="es-ES_tradnl" w:eastAsia="es-ES"/>
        </w:rPr>
        <w:t xml:space="preserve">El reglamento en su artículo 9, no distingue en cuanto a si el vale vista bancario debe ser nominativo, o a la orden y por tanto endosable; tampoco lo hacen las bases por lo cual ambas son válidas. </w:t>
      </w:r>
    </w:p>
    <w:p w:rsidR="006F1CD6" w:rsidRDefault="006F1CD6" w:rsidP="006F1CD6">
      <w:pPr>
        <w:pStyle w:val="Textosinformato"/>
        <w:jc w:val="both"/>
        <w:rPr>
          <w:rFonts w:ascii="gobCL" w:hAnsi="gobCL"/>
          <w:b/>
          <w:bCs/>
          <w:color w:val="1F497D"/>
          <w:sz w:val="24"/>
          <w:szCs w:val="24"/>
          <w:highlight w:val="yellow"/>
          <w:lang w:val="es-ES_tradnl" w:eastAsia="es-ES"/>
        </w:rPr>
      </w:pPr>
    </w:p>
    <w:p w:rsidR="006F1CD6" w:rsidRDefault="006F1CD6" w:rsidP="006F1CD6">
      <w:pPr>
        <w:jc w:val="both"/>
        <w:rPr>
          <w:rFonts w:ascii="gobCL" w:hAnsi="gobCL"/>
          <w:b/>
          <w:bCs/>
          <w:color w:val="1F497D"/>
          <w:sz w:val="24"/>
          <w:szCs w:val="24"/>
        </w:rPr>
      </w:pPr>
      <w:r>
        <w:rPr>
          <w:rFonts w:ascii="gobCL" w:hAnsi="gobCL"/>
          <w:b/>
          <w:bCs/>
          <w:color w:val="1F497D"/>
          <w:sz w:val="24"/>
          <w:szCs w:val="24"/>
        </w:rPr>
        <w:t>En caso de que el oferente entregue como Garantía un Vale Vista bancario nominativo a favor de la Subsecretaría de Pesca y Acuicultura, se devolverá dicha garantía de seriedad de la oferta endosada por el Jefe Departamento Administrativo en forma presencial, sólo a los representantes legales debidamente acreditados.</w:t>
      </w:r>
    </w:p>
    <w:p w:rsidR="008471A1" w:rsidRDefault="008471A1" w:rsidP="006F1CD6">
      <w:pPr>
        <w:jc w:val="both"/>
        <w:rPr>
          <w:rFonts w:ascii="gobCL" w:hAnsi="gobCL"/>
          <w:b/>
          <w:bCs/>
          <w:color w:val="1F497D"/>
          <w:sz w:val="24"/>
          <w:szCs w:val="24"/>
        </w:rPr>
      </w:pPr>
    </w:p>
    <w:p w:rsidR="008471A1" w:rsidRDefault="008471A1" w:rsidP="006F1CD6">
      <w:pPr>
        <w:jc w:val="both"/>
        <w:rPr>
          <w:rFonts w:ascii="gobCL" w:hAnsi="gobCL"/>
          <w:b/>
          <w:bCs/>
          <w:color w:val="1F497D"/>
          <w:sz w:val="24"/>
          <w:szCs w:val="24"/>
        </w:rPr>
      </w:pPr>
    </w:p>
    <w:p w:rsidR="008471A1" w:rsidRDefault="008471A1" w:rsidP="006F1CD6">
      <w:pPr>
        <w:jc w:val="both"/>
        <w:rPr>
          <w:rFonts w:ascii="gobCL" w:hAnsi="gobCL"/>
          <w:b/>
          <w:bCs/>
          <w:color w:val="1F497D"/>
          <w:sz w:val="24"/>
          <w:szCs w:val="24"/>
        </w:rPr>
      </w:pPr>
    </w:p>
    <w:p w:rsidR="008471A1" w:rsidRDefault="008471A1" w:rsidP="006F1CD6">
      <w:pPr>
        <w:jc w:val="both"/>
        <w:rPr>
          <w:rFonts w:ascii="gobCL" w:hAnsi="gobCL"/>
          <w:b/>
          <w:bCs/>
          <w:color w:val="1F497D"/>
          <w:sz w:val="24"/>
          <w:szCs w:val="24"/>
        </w:rPr>
      </w:pPr>
    </w:p>
    <w:p w:rsidR="008471A1" w:rsidRDefault="008471A1" w:rsidP="006F1CD6">
      <w:pPr>
        <w:jc w:val="both"/>
        <w:rPr>
          <w:rFonts w:ascii="gobCL" w:hAnsi="gobCL"/>
          <w:b/>
          <w:bCs/>
          <w:color w:val="1F497D"/>
          <w:sz w:val="24"/>
          <w:szCs w:val="24"/>
        </w:rPr>
      </w:pPr>
    </w:p>
    <w:p w:rsidR="008471A1" w:rsidRPr="008471A1" w:rsidRDefault="008471A1" w:rsidP="008471A1">
      <w:pPr>
        <w:pStyle w:val="Prrafodelista"/>
        <w:spacing w:before="100" w:beforeAutospacing="1" w:after="100" w:afterAutospacing="1"/>
        <w:jc w:val="both"/>
        <w:rPr>
          <w:rFonts w:ascii="gobCL" w:eastAsia="Times New Roman" w:hAnsi="gobCL"/>
          <w:sz w:val="24"/>
          <w:szCs w:val="24"/>
        </w:rPr>
      </w:pPr>
      <w:bookmarkStart w:id="0" w:name="_GoBack"/>
      <w:bookmarkEnd w:id="0"/>
    </w:p>
    <w:sectPr w:rsidR="008471A1" w:rsidRPr="008471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1A1" w:rsidRDefault="008471A1" w:rsidP="008471A1">
      <w:pPr>
        <w:spacing w:after="0" w:line="240" w:lineRule="auto"/>
      </w:pPr>
      <w:r>
        <w:separator/>
      </w:r>
    </w:p>
  </w:endnote>
  <w:endnote w:type="continuationSeparator" w:id="0">
    <w:p w:rsidR="008471A1" w:rsidRDefault="008471A1" w:rsidP="0084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1A1" w:rsidRDefault="008471A1" w:rsidP="008471A1">
      <w:pPr>
        <w:spacing w:after="0" w:line="240" w:lineRule="auto"/>
      </w:pPr>
      <w:r>
        <w:separator/>
      </w:r>
    </w:p>
  </w:footnote>
  <w:footnote w:type="continuationSeparator" w:id="0">
    <w:p w:rsidR="008471A1" w:rsidRDefault="008471A1" w:rsidP="00847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1045B"/>
    <w:multiLevelType w:val="hybridMultilevel"/>
    <w:tmpl w:val="34DE7942"/>
    <w:lvl w:ilvl="0" w:tplc="5D608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A2EF3"/>
    <w:multiLevelType w:val="multilevel"/>
    <w:tmpl w:val="D814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062021"/>
    <w:multiLevelType w:val="hybridMultilevel"/>
    <w:tmpl w:val="B7EAFA9E"/>
    <w:lvl w:ilvl="0" w:tplc="32626096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32192"/>
    <w:multiLevelType w:val="hybridMultilevel"/>
    <w:tmpl w:val="050CF7F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D1"/>
    <w:rsid w:val="00064FF4"/>
    <w:rsid w:val="000A2CF8"/>
    <w:rsid w:val="001B50D1"/>
    <w:rsid w:val="00241663"/>
    <w:rsid w:val="0024272B"/>
    <w:rsid w:val="003454D2"/>
    <w:rsid w:val="0053584B"/>
    <w:rsid w:val="006F1CD6"/>
    <w:rsid w:val="008471A1"/>
    <w:rsid w:val="0086567F"/>
    <w:rsid w:val="00924093"/>
    <w:rsid w:val="00935633"/>
    <w:rsid w:val="00944B37"/>
    <w:rsid w:val="009730F6"/>
    <w:rsid w:val="00B9043F"/>
    <w:rsid w:val="00E8276F"/>
    <w:rsid w:val="00F0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0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0F6"/>
    <w:pPr>
      <w:spacing w:after="0" w:line="240" w:lineRule="auto"/>
      <w:ind w:left="720"/>
    </w:pPr>
    <w:rPr>
      <w:rFonts w:ascii="Calibri" w:hAnsi="Calibri" w:cs="Times New Roman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F1CD6"/>
    <w:pPr>
      <w:spacing w:after="0" w:line="240" w:lineRule="auto"/>
    </w:pPr>
    <w:rPr>
      <w:rFonts w:ascii="Calibri" w:hAnsi="Calibri" w:cs="Times New Roman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F1CD6"/>
    <w:rPr>
      <w:rFonts w:ascii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471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71A1"/>
  </w:style>
  <w:style w:type="paragraph" w:styleId="Piedepgina">
    <w:name w:val="footer"/>
    <w:basedOn w:val="Normal"/>
    <w:link w:val="PiedepginaCar"/>
    <w:uiPriority w:val="99"/>
    <w:unhideWhenUsed/>
    <w:rsid w:val="008471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0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0F6"/>
    <w:pPr>
      <w:spacing w:after="0" w:line="240" w:lineRule="auto"/>
      <w:ind w:left="720"/>
    </w:pPr>
    <w:rPr>
      <w:rFonts w:ascii="Calibri" w:hAnsi="Calibri" w:cs="Times New Roman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F1CD6"/>
    <w:pPr>
      <w:spacing w:after="0" w:line="240" w:lineRule="auto"/>
    </w:pPr>
    <w:rPr>
      <w:rFonts w:ascii="Calibri" w:hAnsi="Calibri" w:cs="Times New Roman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F1CD6"/>
    <w:rPr>
      <w:rFonts w:ascii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471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71A1"/>
  </w:style>
  <w:style w:type="paragraph" w:styleId="Piedepgina">
    <w:name w:val="footer"/>
    <w:basedOn w:val="Normal"/>
    <w:link w:val="PiedepginaCar"/>
    <w:uiPriority w:val="99"/>
    <w:unhideWhenUsed/>
    <w:rsid w:val="008471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astapublica@subpesca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818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Ortiz</dc:creator>
  <cp:lastModifiedBy>Francisco Ortiz</cp:lastModifiedBy>
  <cp:revision>6</cp:revision>
  <dcterms:created xsi:type="dcterms:W3CDTF">2019-11-26T12:23:00Z</dcterms:created>
  <dcterms:modified xsi:type="dcterms:W3CDTF">2019-11-27T14:58:00Z</dcterms:modified>
</cp:coreProperties>
</file>