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4C" w:rsidRPr="007A2EB2" w:rsidRDefault="00E86F4C" w:rsidP="00E86F4C">
      <w:pPr>
        <w:jc w:val="both"/>
        <w:rPr>
          <w:rFonts w:ascii="gobCL" w:hAnsi="gobCL" w:cstheme="minorBidi"/>
          <w:b/>
          <w:u w:val="single"/>
        </w:rPr>
      </w:pPr>
      <w:r w:rsidRPr="007A2EB2">
        <w:rPr>
          <w:rFonts w:ascii="gobCL" w:hAnsi="gobCL" w:cstheme="minorBidi"/>
          <w:b/>
          <w:u w:val="single"/>
        </w:rPr>
        <w:t>ACLARACIONES A BASES ADMINISTRATIVAS SUBASTA LICENCIA TRANSABLE DE PESCA TIPO B</w:t>
      </w:r>
    </w:p>
    <w:p w:rsidR="00E86F4C" w:rsidRPr="007A2EB2" w:rsidRDefault="00E86F4C" w:rsidP="00E86F4C">
      <w:pPr>
        <w:spacing w:after="200"/>
        <w:jc w:val="both"/>
        <w:rPr>
          <w:rFonts w:ascii="gobCL" w:hAnsi="gobCL" w:cstheme="minorBidi"/>
          <w:b/>
        </w:rPr>
      </w:pPr>
    </w:p>
    <w:p w:rsidR="00E86F4C" w:rsidRPr="007A2EB2" w:rsidRDefault="00E86F4C" w:rsidP="00E86F4C">
      <w:pPr>
        <w:spacing w:after="200"/>
        <w:jc w:val="both"/>
        <w:rPr>
          <w:rFonts w:ascii="gobCL" w:hAnsi="gobCL" w:cstheme="minorBidi"/>
          <w:b/>
        </w:rPr>
      </w:pPr>
      <w:r w:rsidRPr="007A2EB2">
        <w:rPr>
          <w:rFonts w:ascii="gobCL" w:hAnsi="gobCL" w:cstheme="minorBidi"/>
          <w:b/>
        </w:rPr>
        <w:t xml:space="preserve">Aclaraciones a las bases dirigidas al correo electrónico </w:t>
      </w:r>
      <w:hyperlink r:id="rId7" w:history="1">
        <w:r w:rsidRPr="007A2EB2">
          <w:rPr>
            <w:rFonts w:ascii="gobCL" w:hAnsi="gobCL" w:cstheme="minorBidi"/>
            <w:b/>
          </w:rPr>
          <w:t>subastapublica@subpesca.cl</w:t>
        </w:r>
      </w:hyperlink>
      <w:r w:rsidRPr="007A2EB2">
        <w:rPr>
          <w:rFonts w:ascii="gobCL" w:hAnsi="gobCL" w:cstheme="minorBidi"/>
          <w:b/>
        </w:rPr>
        <w:t xml:space="preserve"> a la fecha de</w:t>
      </w:r>
      <w:r w:rsidR="00191830" w:rsidRPr="007A2EB2">
        <w:rPr>
          <w:rFonts w:ascii="gobCL" w:hAnsi="gobCL" w:cstheme="minorBidi"/>
          <w:b/>
        </w:rPr>
        <w:t xml:space="preserve"> 25</w:t>
      </w:r>
      <w:r w:rsidRPr="007A2EB2">
        <w:rPr>
          <w:rFonts w:ascii="gobCL" w:hAnsi="gobCL" w:cstheme="minorBidi"/>
          <w:b/>
        </w:rPr>
        <w:t xml:space="preserve"> noviembre de</w:t>
      </w:r>
      <w:r w:rsidR="00191830" w:rsidRPr="007A2EB2">
        <w:rPr>
          <w:rFonts w:ascii="gobCL" w:hAnsi="gobCL" w:cstheme="minorBidi"/>
          <w:b/>
        </w:rPr>
        <w:t xml:space="preserve"> 2019</w:t>
      </w:r>
      <w:r w:rsidRPr="007A2EB2">
        <w:rPr>
          <w:rFonts w:ascii="gobCL" w:hAnsi="gobCL" w:cstheme="minorBidi"/>
          <w:b/>
        </w:rPr>
        <w:t>, según el orden de llegada y dentro del plazo de 72 horas</w:t>
      </w:r>
    </w:p>
    <w:p w:rsidR="00E86F4C" w:rsidRPr="007A2EB2" w:rsidRDefault="00E86F4C" w:rsidP="00E86F4C">
      <w:pPr>
        <w:jc w:val="both"/>
        <w:rPr>
          <w:rFonts w:ascii="gobCL" w:hAnsi="gobCL"/>
        </w:rPr>
      </w:pPr>
    </w:p>
    <w:p w:rsidR="00E86F4C" w:rsidRPr="007A2EB2" w:rsidRDefault="00E86F4C" w:rsidP="00E86F4C">
      <w:pPr>
        <w:jc w:val="both"/>
        <w:rPr>
          <w:rFonts w:ascii="gobCL" w:hAnsi="gobCL"/>
        </w:rPr>
      </w:pPr>
      <w:r w:rsidRPr="007A2EB2">
        <w:rPr>
          <w:rFonts w:ascii="gobCL" w:hAnsi="gobCL"/>
        </w:rPr>
        <w:t xml:space="preserve">1.- Con relación al máximo del 40% de la cuota a subastar que un oferente puede adjudicarse según quedó establecido en el Artículo 5° del </w:t>
      </w:r>
      <w:proofErr w:type="spellStart"/>
      <w:r w:rsidRPr="007A2EB2">
        <w:rPr>
          <w:rFonts w:ascii="gobCL" w:hAnsi="gobCL"/>
        </w:rPr>
        <w:t>D.S</w:t>
      </w:r>
      <w:proofErr w:type="spellEnd"/>
      <w:r w:rsidRPr="007A2EB2">
        <w:rPr>
          <w:rFonts w:ascii="gobCL" w:hAnsi="gobCL"/>
        </w:rPr>
        <w:t>. N° 103 de 2015 del Ministerio de Economía, Fomento y Turismo, para aquellos casos en que uno o más lotes no reciban ofertas y por tanto se declaren desiertos, o se hayan realizado desistimientos de lotes adjudicados, que para ambas situaciones la Subsecretaría debe realizar una segunda subasta. ¿Pueden participar adjudicatarios que en la primera subasta se hayan adjudicado un 40% de los derechos subastados?</w:t>
      </w:r>
    </w:p>
    <w:p w:rsidR="00E86F4C" w:rsidRPr="007A2EB2" w:rsidRDefault="00E86F4C" w:rsidP="00E86F4C">
      <w:pPr>
        <w:jc w:val="both"/>
        <w:rPr>
          <w:rFonts w:ascii="gobCL" w:hAnsi="gobCL"/>
        </w:rPr>
      </w:pPr>
    </w:p>
    <w:p w:rsidR="00E86F4C" w:rsidRPr="007A2EB2" w:rsidRDefault="00E86F4C" w:rsidP="00E86F4C">
      <w:pPr>
        <w:jc w:val="both"/>
        <w:rPr>
          <w:rFonts w:ascii="gobCL" w:hAnsi="gobCL"/>
          <w:b/>
          <w:color w:val="1F497D" w:themeColor="text2"/>
        </w:rPr>
      </w:pPr>
      <w:r w:rsidRPr="007A2EB2">
        <w:rPr>
          <w:rFonts w:ascii="gobCL" w:hAnsi="gobCL"/>
          <w:b/>
          <w:color w:val="1F497D" w:themeColor="text2"/>
        </w:rPr>
        <w:t>No pueden participar, toda vez que la limitante de porcentaje es por el total de la cuota a subastar.</w:t>
      </w:r>
    </w:p>
    <w:p w:rsidR="00E86F4C" w:rsidRPr="007A2EB2" w:rsidRDefault="00E86F4C" w:rsidP="00E86F4C">
      <w:pPr>
        <w:jc w:val="both"/>
        <w:rPr>
          <w:rFonts w:ascii="gobCL" w:hAnsi="gobCL"/>
        </w:rPr>
      </w:pPr>
    </w:p>
    <w:p w:rsidR="00E86F4C" w:rsidRPr="007A2EB2" w:rsidRDefault="00E86F4C" w:rsidP="00E86F4C">
      <w:pPr>
        <w:jc w:val="both"/>
        <w:rPr>
          <w:rFonts w:ascii="gobCL" w:hAnsi="gobCL"/>
        </w:rPr>
      </w:pPr>
      <w:r w:rsidRPr="007A2EB2">
        <w:rPr>
          <w:rFonts w:ascii="gobCL" w:hAnsi="gobCL"/>
        </w:rPr>
        <w:t xml:space="preserve">2.- Si en una subasta de </w:t>
      </w:r>
      <w:proofErr w:type="spellStart"/>
      <w:r w:rsidRPr="007A2EB2">
        <w:rPr>
          <w:rFonts w:ascii="gobCL" w:hAnsi="gobCL"/>
        </w:rPr>
        <w:t>LTP</w:t>
      </w:r>
      <w:proofErr w:type="spellEnd"/>
      <w:r w:rsidRPr="007A2EB2">
        <w:rPr>
          <w:rFonts w:ascii="gobCL" w:hAnsi="gobCL"/>
        </w:rPr>
        <w:t xml:space="preserve"> B se declaran desiertos lotes destinados de forma exclusiva para que sean adjudicados por empresas que califiquen como pequeñas o medianas de conformidad con la Ley 20.416, en la segunda subasta que deba realizarse, dichos lotes mantienen la exclusividad antes mencionada</w:t>
      </w:r>
      <w:proofErr w:type="gramStart"/>
      <w:r w:rsidRPr="007A2EB2">
        <w:rPr>
          <w:rFonts w:ascii="gobCL" w:hAnsi="gobCL"/>
        </w:rPr>
        <w:t>?</w:t>
      </w:r>
      <w:proofErr w:type="gramEnd"/>
    </w:p>
    <w:p w:rsidR="00A62A13" w:rsidRPr="007A2EB2" w:rsidRDefault="007A2EB2" w:rsidP="00E86F4C">
      <w:pPr>
        <w:jc w:val="both"/>
        <w:rPr>
          <w:rFonts w:ascii="gobCL" w:hAnsi="gobCL"/>
        </w:rPr>
      </w:pPr>
    </w:p>
    <w:p w:rsidR="00FD79A9" w:rsidRPr="007A2EB2" w:rsidRDefault="00E86F4C" w:rsidP="00E86F4C">
      <w:pPr>
        <w:jc w:val="both"/>
        <w:rPr>
          <w:rFonts w:ascii="gobCL" w:hAnsi="gobCL"/>
          <w:b/>
          <w:color w:val="1F497D" w:themeColor="text2"/>
        </w:rPr>
      </w:pPr>
      <w:r w:rsidRPr="007A2EB2">
        <w:rPr>
          <w:rFonts w:ascii="gobCL" w:hAnsi="gobCL"/>
          <w:b/>
          <w:color w:val="1F497D" w:themeColor="text2"/>
        </w:rPr>
        <w:t>Efectivamente, mantienen la naturaleza de exclusividad de adjudicación de empresas de menor tamaño.</w:t>
      </w:r>
    </w:p>
    <w:p w:rsidR="00FD79A9" w:rsidRPr="007A2EB2" w:rsidRDefault="00FD79A9" w:rsidP="00FD79A9">
      <w:pPr>
        <w:rPr>
          <w:rFonts w:ascii="gobCL" w:hAnsi="gobCL"/>
        </w:rPr>
      </w:pPr>
    </w:p>
    <w:p w:rsidR="000252B7" w:rsidRPr="007A2EB2" w:rsidRDefault="00FD79A9" w:rsidP="00FD79A9">
      <w:pPr>
        <w:jc w:val="both"/>
        <w:rPr>
          <w:rFonts w:ascii="gobCL" w:hAnsi="gobCL"/>
        </w:rPr>
      </w:pPr>
      <w:r w:rsidRPr="007A2EB2">
        <w:rPr>
          <w:rFonts w:ascii="gobCL" w:hAnsi="gobCL"/>
        </w:rPr>
        <w:t>3.</w:t>
      </w:r>
      <w:r w:rsidR="000252B7" w:rsidRPr="007A2EB2">
        <w:rPr>
          <w:rFonts w:ascii="gobCL" w:hAnsi="gobCL"/>
        </w:rPr>
        <w:t>-</w:t>
      </w:r>
      <w:r w:rsidRPr="007A2EB2">
        <w:rPr>
          <w:rFonts w:ascii="gobCL" w:hAnsi="gobCL"/>
        </w:rPr>
        <w:t xml:space="preserve"> Consulta de conformidad al punto 2 de las Bases Administrativas contenidas en la </w:t>
      </w:r>
      <w:proofErr w:type="spellStart"/>
      <w:r w:rsidRPr="007A2EB2">
        <w:rPr>
          <w:rFonts w:ascii="gobCL" w:hAnsi="gobCL"/>
        </w:rPr>
        <w:t>R.EX</w:t>
      </w:r>
      <w:proofErr w:type="spellEnd"/>
      <w:r w:rsidRPr="007A2EB2">
        <w:rPr>
          <w:rFonts w:ascii="gobCL" w:hAnsi="gobCL"/>
        </w:rPr>
        <w:t xml:space="preserve"> N° 3547 de fecha 19.11.2019.Punto 6</w:t>
      </w:r>
      <w:r w:rsidRPr="007A2EB2">
        <w:rPr>
          <w:rFonts w:ascii="Courier New" w:hAnsi="Courier New" w:cs="Courier New"/>
        </w:rPr>
        <w:t> </w:t>
      </w:r>
      <w:r w:rsidRPr="007A2EB2">
        <w:rPr>
          <w:rFonts w:ascii="gobCL" w:hAnsi="gobCL"/>
        </w:rPr>
        <w:t xml:space="preserve"> " DE LOS SOBRES" letra b.</w:t>
      </w:r>
    </w:p>
    <w:p w:rsidR="000252B7" w:rsidRPr="007A2EB2" w:rsidRDefault="000252B7" w:rsidP="00FD79A9">
      <w:pPr>
        <w:jc w:val="both"/>
        <w:rPr>
          <w:rFonts w:ascii="gobCL" w:hAnsi="gobCL"/>
        </w:rPr>
      </w:pPr>
    </w:p>
    <w:p w:rsidR="00FD79A9" w:rsidRPr="007A2EB2" w:rsidRDefault="00FD79A9" w:rsidP="00FD79A9">
      <w:pPr>
        <w:jc w:val="both"/>
        <w:rPr>
          <w:rFonts w:ascii="gobCL" w:hAnsi="gobCL"/>
        </w:rPr>
      </w:pPr>
      <w:r w:rsidRPr="007A2EB2">
        <w:rPr>
          <w:rFonts w:ascii="gobCL" w:hAnsi="gobCL"/>
        </w:rPr>
        <w:t>Consulto en relaci</w:t>
      </w:r>
      <w:r w:rsidRPr="007A2EB2">
        <w:rPr>
          <w:rFonts w:ascii="gobCL" w:hAnsi="gobCL" w:cs="gobCL"/>
        </w:rPr>
        <w:t>ó</w:t>
      </w:r>
      <w:r w:rsidRPr="007A2EB2">
        <w:rPr>
          <w:rFonts w:ascii="gobCL" w:hAnsi="gobCL"/>
        </w:rPr>
        <w:t>n al sobre n</w:t>
      </w:r>
      <w:r w:rsidRPr="007A2EB2">
        <w:rPr>
          <w:rFonts w:ascii="gobCL" w:hAnsi="gobCL" w:cs="gobCL"/>
        </w:rPr>
        <w:t>°</w:t>
      </w:r>
      <w:r w:rsidRPr="007A2EB2">
        <w:rPr>
          <w:rFonts w:ascii="gobCL" w:hAnsi="gobCL"/>
        </w:rPr>
        <w:t xml:space="preserve"> 2 que debe contener la Oferta econ</w:t>
      </w:r>
      <w:r w:rsidRPr="007A2EB2">
        <w:rPr>
          <w:rFonts w:ascii="gobCL" w:hAnsi="gobCL" w:cs="gobCL"/>
        </w:rPr>
        <w:t>ó</w:t>
      </w:r>
      <w:r w:rsidRPr="007A2EB2">
        <w:rPr>
          <w:rFonts w:ascii="gobCL" w:hAnsi="gobCL"/>
        </w:rPr>
        <w:t>mica".</w:t>
      </w:r>
    </w:p>
    <w:p w:rsidR="00FD79A9" w:rsidRPr="007A2EB2" w:rsidRDefault="00FD79A9" w:rsidP="00FD79A9">
      <w:pPr>
        <w:jc w:val="both"/>
        <w:rPr>
          <w:rFonts w:ascii="gobCL" w:hAnsi="gobCL"/>
        </w:rPr>
      </w:pPr>
      <w:r w:rsidRPr="007A2EB2">
        <w:rPr>
          <w:rFonts w:ascii="gobCL" w:hAnsi="gobCL"/>
        </w:rPr>
        <w:t>Si bien cada oferta econ</w:t>
      </w:r>
      <w:r w:rsidRPr="007A2EB2">
        <w:rPr>
          <w:rFonts w:ascii="gobCL" w:hAnsi="gobCL" w:cs="gobCL"/>
        </w:rPr>
        <w:t>ó</w:t>
      </w:r>
      <w:r w:rsidRPr="007A2EB2">
        <w:rPr>
          <w:rFonts w:ascii="gobCL" w:hAnsi="gobCL"/>
        </w:rPr>
        <w:t>mica deber</w:t>
      </w:r>
      <w:r w:rsidRPr="007A2EB2">
        <w:rPr>
          <w:rFonts w:ascii="gobCL" w:hAnsi="gobCL" w:cs="gobCL"/>
        </w:rPr>
        <w:t>á</w:t>
      </w:r>
      <w:r w:rsidRPr="007A2EB2">
        <w:rPr>
          <w:rFonts w:ascii="gobCL" w:hAnsi="gobCL"/>
        </w:rPr>
        <w:t xml:space="preserve"> ir en su respectivo sobre cerrado; </w:t>
      </w:r>
      <w:r w:rsidRPr="007A2EB2">
        <w:rPr>
          <w:rFonts w:ascii="gobCL" w:hAnsi="gobCL" w:cs="gobCL"/>
        </w:rPr>
        <w:t>¿</w:t>
      </w:r>
      <w:r w:rsidRPr="007A2EB2">
        <w:rPr>
          <w:rFonts w:ascii="gobCL" w:hAnsi="gobCL"/>
        </w:rPr>
        <w:t>Si fueran varias ofertas, cada una de estas</w:t>
      </w:r>
      <w:r w:rsidR="000252B7" w:rsidRPr="007A2EB2">
        <w:rPr>
          <w:rFonts w:ascii="gobCL" w:hAnsi="gobCL"/>
        </w:rPr>
        <w:t xml:space="preserve"> </w:t>
      </w:r>
      <w:proofErr w:type="gramStart"/>
      <w:r w:rsidRPr="007A2EB2">
        <w:rPr>
          <w:rFonts w:ascii="gobCL" w:hAnsi="gobCL"/>
        </w:rPr>
        <w:t>( sobres</w:t>
      </w:r>
      <w:proofErr w:type="gramEnd"/>
      <w:r w:rsidRPr="007A2EB2">
        <w:rPr>
          <w:rFonts w:ascii="gobCL" w:hAnsi="gobCL"/>
        </w:rPr>
        <w:t>) deber</w:t>
      </w:r>
      <w:r w:rsidRPr="007A2EB2">
        <w:rPr>
          <w:rFonts w:ascii="gobCL" w:hAnsi="gobCL" w:cs="gobCL"/>
        </w:rPr>
        <w:t>á</w:t>
      </w:r>
      <w:r w:rsidRPr="007A2EB2">
        <w:rPr>
          <w:rFonts w:ascii="gobCL" w:hAnsi="gobCL"/>
        </w:rPr>
        <w:t>n incorporarse por separado dentro del sobre N° 1 o todos los sobres con ofertas económicas deberán ir dentro de otro que contenga en su conjunto todos los sobres con sus respectivas ofertas?</w:t>
      </w:r>
    </w:p>
    <w:p w:rsidR="00FD79A9" w:rsidRPr="007A2EB2" w:rsidRDefault="00FD79A9" w:rsidP="00FD79A9">
      <w:pPr>
        <w:rPr>
          <w:rFonts w:ascii="gobCL" w:hAnsi="gobCL"/>
        </w:rPr>
      </w:pPr>
    </w:p>
    <w:p w:rsidR="00FD79A9" w:rsidRPr="007A2EB2" w:rsidRDefault="00FD79A9" w:rsidP="00FD79A9">
      <w:pPr>
        <w:jc w:val="both"/>
        <w:rPr>
          <w:rFonts w:ascii="gobCL" w:hAnsi="gobCL"/>
          <w:b/>
          <w:color w:val="1F497D" w:themeColor="text2"/>
          <w:lang w:val="es-ES"/>
        </w:rPr>
      </w:pPr>
      <w:r w:rsidRPr="007A2EB2">
        <w:rPr>
          <w:rFonts w:ascii="gobCL" w:hAnsi="gobCL"/>
          <w:b/>
          <w:color w:val="1F497D" w:themeColor="text2"/>
          <w:lang w:val="es-ES"/>
        </w:rPr>
        <w:t>Se presentan tres ‘sets’ de sobres, Sobre 1 “Antecedentes Administrativos”, sobre 2 “Ofertas Económica” y Sobre 3 “Desempates”</w:t>
      </w:r>
    </w:p>
    <w:p w:rsidR="00191830" w:rsidRPr="007A2EB2" w:rsidRDefault="00191830" w:rsidP="00FD79A9">
      <w:pPr>
        <w:jc w:val="both"/>
        <w:rPr>
          <w:rFonts w:ascii="gobCL" w:hAnsi="gobCL"/>
          <w:b/>
          <w:color w:val="1F497D" w:themeColor="text2"/>
          <w:lang w:val="es-ES"/>
        </w:rPr>
      </w:pPr>
    </w:p>
    <w:p w:rsidR="00191830" w:rsidRPr="007A2EB2" w:rsidRDefault="00191830" w:rsidP="00191830">
      <w:pPr>
        <w:rPr>
          <w:rFonts w:ascii="gobCL" w:hAnsi="gobCL"/>
          <w:b/>
          <w:color w:val="1F497D" w:themeColor="text2"/>
          <w:lang w:eastAsia="en-US"/>
        </w:rPr>
      </w:pPr>
      <w:r w:rsidRPr="007A2EB2">
        <w:rPr>
          <w:rFonts w:ascii="gobCL" w:hAnsi="gobCL"/>
          <w:b/>
          <w:color w:val="1F497D" w:themeColor="text2"/>
          <w:lang w:eastAsia="en-US"/>
        </w:rPr>
        <w:t>“Los “Antecedentes Administrativos” deben ir en un sobre (Sobre N° 1), conteniendo la totalidad de los documentos exigidos en las bases.</w:t>
      </w:r>
    </w:p>
    <w:p w:rsidR="00FD79A9" w:rsidRPr="007A2EB2" w:rsidRDefault="00FD79A9" w:rsidP="00FD79A9">
      <w:pPr>
        <w:jc w:val="both"/>
        <w:rPr>
          <w:rFonts w:ascii="gobCL" w:hAnsi="gobCL"/>
          <w:b/>
          <w:color w:val="1F497D" w:themeColor="text2"/>
          <w:lang w:val="es-ES"/>
        </w:rPr>
      </w:pPr>
    </w:p>
    <w:p w:rsidR="001626B1" w:rsidRPr="007A2EB2" w:rsidRDefault="00FD79A9" w:rsidP="00FD79A9">
      <w:pPr>
        <w:jc w:val="both"/>
        <w:rPr>
          <w:rFonts w:ascii="gobCL" w:hAnsi="gobCL"/>
          <w:b/>
          <w:color w:val="1F497D" w:themeColor="text2"/>
          <w:lang w:val="es-ES"/>
        </w:rPr>
      </w:pPr>
      <w:r w:rsidRPr="007A2EB2">
        <w:rPr>
          <w:rFonts w:ascii="gobCL" w:hAnsi="gobCL"/>
          <w:b/>
          <w:color w:val="1F497D" w:themeColor="text2"/>
          <w:lang w:val="es-ES"/>
        </w:rPr>
        <w:t>En el sobre 2 Ofertas económicas van tantas ofertas como lotes se quieran adjudicar individualizando afuera de cada sobre nombre de oferente, recurso, área y N° de lote a la que se refiere la oferta</w:t>
      </w:r>
      <w:r w:rsidR="001626B1" w:rsidRPr="007A2EB2">
        <w:rPr>
          <w:rFonts w:ascii="gobCL" w:hAnsi="gobCL"/>
          <w:b/>
          <w:color w:val="1F497D" w:themeColor="text2"/>
          <w:lang w:val="es-ES"/>
        </w:rPr>
        <w:t>.</w:t>
      </w:r>
    </w:p>
    <w:p w:rsidR="001626B1" w:rsidRPr="007A2EB2" w:rsidRDefault="001626B1" w:rsidP="00FD79A9">
      <w:pPr>
        <w:jc w:val="both"/>
        <w:rPr>
          <w:rFonts w:ascii="gobCL" w:hAnsi="gobCL"/>
          <w:b/>
          <w:color w:val="1F497D" w:themeColor="text2"/>
          <w:lang w:val="es-ES"/>
        </w:rPr>
      </w:pPr>
    </w:p>
    <w:p w:rsidR="001626B1" w:rsidRPr="007A2EB2" w:rsidRDefault="001626B1" w:rsidP="00FD79A9">
      <w:pPr>
        <w:jc w:val="both"/>
        <w:rPr>
          <w:rFonts w:ascii="gobCL" w:hAnsi="gobCL"/>
          <w:b/>
          <w:color w:val="1F497D" w:themeColor="text2"/>
          <w:lang w:val="es-ES"/>
        </w:rPr>
      </w:pPr>
      <w:r w:rsidRPr="007A2EB2">
        <w:rPr>
          <w:rFonts w:ascii="gobCL" w:hAnsi="gobCL"/>
          <w:b/>
          <w:color w:val="1F497D" w:themeColor="text2"/>
          <w:lang w:val="es-ES"/>
        </w:rPr>
        <w:t>E</w:t>
      </w:r>
      <w:r w:rsidR="00FD79A9" w:rsidRPr="007A2EB2">
        <w:rPr>
          <w:rFonts w:ascii="gobCL" w:hAnsi="gobCL"/>
          <w:b/>
          <w:color w:val="1F497D" w:themeColor="text2"/>
          <w:lang w:val="es-ES"/>
        </w:rPr>
        <w:t xml:space="preserve">jemplo: </w:t>
      </w:r>
    </w:p>
    <w:p w:rsidR="001626B1" w:rsidRPr="007A2EB2" w:rsidRDefault="001626B1" w:rsidP="00FD79A9">
      <w:pPr>
        <w:jc w:val="both"/>
        <w:rPr>
          <w:rFonts w:ascii="gobCL" w:hAnsi="gobCL"/>
          <w:b/>
          <w:color w:val="1F497D" w:themeColor="text2"/>
          <w:lang w:val="es-ES"/>
        </w:rPr>
      </w:pPr>
    </w:p>
    <w:p w:rsidR="00FD79A9" w:rsidRPr="007A2EB2" w:rsidRDefault="001626B1" w:rsidP="00FD79A9">
      <w:pPr>
        <w:jc w:val="both"/>
        <w:rPr>
          <w:rFonts w:ascii="gobCL" w:hAnsi="gobCL"/>
          <w:b/>
          <w:color w:val="1F497D" w:themeColor="text2"/>
          <w:lang w:val="es-ES"/>
        </w:rPr>
      </w:pPr>
      <w:r w:rsidRPr="007A2EB2">
        <w:rPr>
          <w:rFonts w:ascii="gobCL" w:hAnsi="gobCL"/>
          <w:b/>
          <w:color w:val="1F497D" w:themeColor="text2"/>
          <w:lang w:val="es-ES"/>
        </w:rPr>
        <w:t>P</w:t>
      </w:r>
      <w:r w:rsidR="00FD79A9" w:rsidRPr="007A2EB2">
        <w:rPr>
          <w:rFonts w:ascii="gobCL" w:hAnsi="gobCL"/>
          <w:b/>
          <w:color w:val="1F497D" w:themeColor="text2"/>
          <w:lang w:val="es-ES"/>
        </w:rPr>
        <w:t>ara</w:t>
      </w:r>
      <w:r w:rsidRPr="007A2EB2">
        <w:rPr>
          <w:rFonts w:ascii="gobCL" w:hAnsi="gobCL"/>
          <w:b/>
          <w:color w:val="1F497D" w:themeColor="text2"/>
          <w:lang w:val="es-ES"/>
        </w:rPr>
        <w:t xml:space="preserve"> la</w:t>
      </w:r>
      <w:r w:rsidR="00FD79A9" w:rsidRPr="007A2EB2">
        <w:rPr>
          <w:rFonts w:ascii="gobCL" w:hAnsi="gobCL"/>
          <w:b/>
          <w:color w:val="1F497D" w:themeColor="text2"/>
          <w:lang w:val="es-ES"/>
        </w:rPr>
        <w:t xml:space="preserve"> licitación de anchoveta</w:t>
      </w:r>
      <w:r w:rsidRPr="007A2EB2">
        <w:rPr>
          <w:rFonts w:ascii="gobCL" w:hAnsi="gobCL"/>
          <w:b/>
          <w:color w:val="1F497D" w:themeColor="text2"/>
          <w:lang w:val="es-ES"/>
        </w:rPr>
        <w:t>,</w:t>
      </w:r>
      <w:r w:rsidR="00FD79A9" w:rsidRPr="007A2EB2">
        <w:rPr>
          <w:rFonts w:ascii="gobCL" w:hAnsi="gobCL"/>
          <w:b/>
          <w:color w:val="1F497D" w:themeColor="text2"/>
          <w:lang w:val="es-ES"/>
        </w:rPr>
        <w:t xml:space="preserve"> en cada sobre particular de oferta dentro del sobre 2 “OFERTA ECONÓMICA”</w:t>
      </w:r>
      <w:r w:rsidRPr="007A2EB2">
        <w:rPr>
          <w:rFonts w:ascii="gobCL" w:hAnsi="gobCL"/>
          <w:b/>
          <w:color w:val="1F497D" w:themeColor="text2"/>
          <w:lang w:val="es-ES"/>
        </w:rPr>
        <w:t xml:space="preserve">, se </w:t>
      </w:r>
      <w:r w:rsidR="000252B7" w:rsidRPr="007A2EB2">
        <w:rPr>
          <w:rFonts w:ascii="gobCL" w:hAnsi="gobCL"/>
          <w:b/>
          <w:color w:val="1F497D" w:themeColor="text2"/>
          <w:lang w:val="es-ES"/>
        </w:rPr>
        <w:t>deberán</w:t>
      </w:r>
      <w:r w:rsidRPr="007A2EB2">
        <w:rPr>
          <w:rFonts w:ascii="gobCL" w:hAnsi="gobCL"/>
          <w:b/>
          <w:color w:val="1F497D" w:themeColor="text2"/>
          <w:lang w:val="es-ES"/>
        </w:rPr>
        <w:t xml:space="preserve"> incluir las siguientes menciones:</w:t>
      </w:r>
    </w:p>
    <w:p w:rsidR="00FD79A9" w:rsidRPr="007A2EB2" w:rsidRDefault="00FD79A9" w:rsidP="00FD79A9">
      <w:pPr>
        <w:jc w:val="both"/>
        <w:rPr>
          <w:rFonts w:ascii="gobCL" w:hAnsi="gobCL"/>
          <w:b/>
          <w:color w:val="1F497D" w:themeColor="text2"/>
          <w:lang w:val="es-ES"/>
        </w:rPr>
      </w:pPr>
    </w:p>
    <w:p w:rsidR="00FD79A9" w:rsidRPr="007A2EB2" w:rsidRDefault="00FD79A9" w:rsidP="00FD79A9">
      <w:pPr>
        <w:jc w:val="both"/>
        <w:rPr>
          <w:rFonts w:ascii="gobCL" w:hAnsi="gobCL"/>
          <w:b/>
          <w:color w:val="1F497D" w:themeColor="text2"/>
          <w:lang w:val="es-ES"/>
        </w:rPr>
      </w:pPr>
      <w:r w:rsidRPr="007A2EB2">
        <w:rPr>
          <w:rFonts w:ascii="gobCL" w:hAnsi="gobCL"/>
          <w:b/>
          <w:color w:val="1F497D" w:themeColor="text2"/>
          <w:lang w:val="es-ES"/>
        </w:rPr>
        <w:t xml:space="preserve">Nombre oferente: </w:t>
      </w:r>
      <w:proofErr w:type="spellStart"/>
      <w:r w:rsidRPr="007A2EB2">
        <w:rPr>
          <w:rFonts w:ascii="gobCL" w:hAnsi="gobCL"/>
          <w:b/>
          <w:color w:val="1F497D" w:themeColor="text2"/>
          <w:lang w:val="es-ES"/>
        </w:rPr>
        <w:t>XXXXXX</w:t>
      </w:r>
      <w:proofErr w:type="spellEnd"/>
    </w:p>
    <w:p w:rsidR="00FD79A9" w:rsidRPr="007A2EB2" w:rsidRDefault="00FD79A9" w:rsidP="00FD79A9">
      <w:pPr>
        <w:jc w:val="both"/>
        <w:rPr>
          <w:rFonts w:ascii="gobCL" w:hAnsi="gobCL"/>
          <w:b/>
          <w:color w:val="1F497D" w:themeColor="text2"/>
          <w:lang w:val="es-ES"/>
        </w:rPr>
      </w:pPr>
      <w:r w:rsidRPr="007A2EB2">
        <w:rPr>
          <w:rFonts w:ascii="gobCL" w:hAnsi="gobCL"/>
          <w:b/>
          <w:color w:val="1F497D" w:themeColor="text2"/>
          <w:lang w:val="es-ES"/>
        </w:rPr>
        <w:t>Recurso: Anchoveta</w:t>
      </w:r>
    </w:p>
    <w:p w:rsidR="00FD79A9" w:rsidRPr="007A2EB2" w:rsidRDefault="00FD79A9" w:rsidP="00FD79A9">
      <w:pPr>
        <w:jc w:val="both"/>
        <w:rPr>
          <w:rFonts w:ascii="gobCL" w:hAnsi="gobCL"/>
          <w:b/>
          <w:color w:val="1F497D" w:themeColor="text2"/>
          <w:lang w:val="es-ES"/>
        </w:rPr>
      </w:pPr>
      <w:r w:rsidRPr="007A2EB2">
        <w:rPr>
          <w:rFonts w:ascii="gobCL" w:hAnsi="gobCL"/>
          <w:b/>
          <w:color w:val="1F497D" w:themeColor="text2"/>
          <w:lang w:val="es-ES"/>
        </w:rPr>
        <w:t>Área: Unidad de Pesquería Regiones de Valparaíso a Los Lagos</w:t>
      </w:r>
    </w:p>
    <w:p w:rsidR="00FD79A9" w:rsidRPr="007A2EB2" w:rsidRDefault="00FD79A9" w:rsidP="00FD79A9">
      <w:pPr>
        <w:jc w:val="both"/>
        <w:rPr>
          <w:rFonts w:ascii="gobCL" w:hAnsi="gobCL"/>
          <w:b/>
          <w:color w:val="1F497D" w:themeColor="text2"/>
          <w:lang w:val="es-ES"/>
        </w:rPr>
      </w:pPr>
      <w:r w:rsidRPr="007A2EB2">
        <w:rPr>
          <w:rFonts w:ascii="gobCL" w:hAnsi="gobCL"/>
          <w:b/>
          <w:color w:val="1F497D" w:themeColor="text2"/>
          <w:lang w:val="es-ES"/>
        </w:rPr>
        <w:t>N° de Lote a la que se refiere la oferta: 3</w:t>
      </w:r>
    </w:p>
    <w:p w:rsidR="004463DD" w:rsidRPr="007A2EB2" w:rsidRDefault="004463DD" w:rsidP="00FD79A9">
      <w:pPr>
        <w:rPr>
          <w:rFonts w:ascii="gobCL" w:hAnsi="gobCL"/>
        </w:rPr>
      </w:pPr>
    </w:p>
    <w:p w:rsidR="004463DD" w:rsidRPr="007A2EB2" w:rsidRDefault="000252B7" w:rsidP="004463DD">
      <w:pPr>
        <w:jc w:val="both"/>
        <w:rPr>
          <w:rFonts w:ascii="gobCL" w:eastAsia="Times New Roman" w:hAnsi="gobCL"/>
          <w:color w:val="000000"/>
        </w:rPr>
      </w:pPr>
      <w:r w:rsidRPr="007A2EB2">
        <w:rPr>
          <w:rFonts w:ascii="gobCL" w:eastAsia="Times New Roman" w:hAnsi="gobCL"/>
          <w:color w:val="000000"/>
        </w:rPr>
        <w:t xml:space="preserve">4.- </w:t>
      </w:r>
      <w:r w:rsidR="004463DD" w:rsidRPr="007A2EB2">
        <w:rPr>
          <w:rFonts w:ascii="gobCL" w:eastAsia="Times New Roman" w:hAnsi="gobCL"/>
          <w:color w:val="000000"/>
        </w:rPr>
        <w:t>¿Se puede presentar solo un vale vista bancario conteniendo el total del monto de dinero solicitado</w:t>
      </w:r>
      <w:r w:rsidR="004463DD" w:rsidRPr="007A2EB2">
        <w:rPr>
          <w:rFonts w:ascii="Courier New" w:eastAsia="Times New Roman" w:hAnsi="Courier New" w:cs="Courier New"/>
          <w:color w:val="000000"/>
        </w:rPr>
        <w:t xml:space="preserve"> </w:t>
      </w:r>
      <w:r w:rsidR="004463DD" w:rsidRPr="007A2EB2">
        <w:rPr>
          <w:rFonts w:ascii="gobCL" w:eastAsia="Times New Roman" w:hAnsi="gobCL"/>
          <w:color w:val="000000"/>
        </w:rPr>
        <w:t>para las garant</w:t>
      </w:r>
      <w:r w:rsidR="004463DD" w:rsidRPr="007A2EB2">
        <w:rPr>
          <w:rFonts w:ascii="gobCL" w:eastAsia="Times New Roman" w:hAnsi="gobCL" w:cs="gobCL"/>
          <w:color w:val="000000"/>
        </w:rPr>
        <w:t>í</w:t>
      </w:r>
      <w:r w:rsidR="004463DD" w:rsidRPr="007A2EB2">
        <w:rPr>
          <w:rFonts w:ascii="gobCL" w:eastAsia="Times New Roman" w:hAnsi="gobCL"/>
          <w:color w:val="000000"/>
        </w:rPr>
        <w:t xml:space="preserve">as de todos los </w:t>
      </w:r>
      <w:r w:rsidR="001626B1" w:rsidRPr="007A2EB2">
        <w:rPr>
          <w:rFonts w:ascii="gobCL" w:eastAsia="Times New Roman" w:hAnsi="gobCL"/>
          <w:color w:val="000000"/>
        </w:rPr>
        <w:t>lotes?</w:t>
      </w:r>
      <w:r w:rsidR="001626B1" w:rsidRPr="007A2EB2">
        <w:rPr>
          <w:rFonts w:ascii="Courier New" w:eastAsia="Times New Roman" w:hAnsi="Courier New" w:cs="Courier New"/>
          <w:color w:val="000000"/>
        </w:rPr>
        <w:t> </w:t>
      </w:r>
    </w:p>
    <w:p w:rsidR="004463DD" w:rsidRPr="007A2EB2" w:rsidRDefault="004463DD" w:rsidP="004463DD">
      <w:pPr>
        <w:rPr>
          <w:rFonts w:ascii="Calibri" w:eastAsia="Times New Roman" w:hAnsi="Calibri"/>
          <w:color w:val="000000"/>
        </w:rPr>
      </w:pPr>
      <w:bookmarkStart w:id="0" w:name="_GoBack"/>
      <w:bookmarkEnd w:id="0"/>
    </w:p>
    <w:p w:rsidR="000252B7" w:rsidRPr="000252B7" w:rsidRDefault="000252B7" w:rsidP="000252B7">
      <w:pPr>
        <w:jc w:val="both"/>
        <w:rPr>
          <w:rFonts w:ascii="gobCL" w:hAnsi="gobCL" w:cs="Arial"/>
          <w:b/>
          <w:color w:val="1F497D" w:themeColor="text2"/>
        </w:rPr>
      </w:pPr>
      <w:r w:rsidRPr="000252B7">
        <w:rPr>
          <w:rFonts w:ascii="gobCL" w:hAnsi="gobCL" w:cs="Arial"/>
          <w:b/>
          <w:color w:val="1F497D" w:themeColor="text2"/>
        </w:rPr>
        <w:t>Si se puede presentar una garantía por el total, sin embargo por un tema de orden y expedita devolución de las mismas, se aconseja presentar una garantía por lote.</w:t>
      </w:r>
    </w:p>
    <w:p w:rsidR="00E86F4C" w:rsidRPr="007A2EB2" w:rsidRDefault="00E86F4C" w:rsidP="004463DD">
      <w:pPr>
        <w:rPr>
          <w:rFonts w:ascii="gobCL" w:hAnsi="gobCL"/>
        </w:rPr>
      </w:pPr>
    </w:p>
    <w:sectPr w:rsidR="00E86F4C" w:rsidRPr="007A2EB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B7" w:rsidRDefault="000252B7" w:rsidP="000252B7">
      <w:r>
        <w:separator/>
      </w:r>
    </w:p>
  </w:endnote>
  <w:endnote w:type="continuationSeparator" w:id="0">
    <w:p w:rsidR="000252B7" w:rsidRDefault="000252B7" w:rsidP="0002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11140"/>
      <w:docPartObj>
        <w:docPartGallery w:val="Page Numbers (Bottom of Page)"/>
        <w:docPartUnique/>
      </w:docPartObj>
    </w:sdtPr>
    <w:sdtContent>
      <w:p w:rsidR="000252B7" w:rsidRDefault="000252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B2" w:rsidRPr="007A2EB2">
          <w:rPr>
            <w:noProof/>
            <w:lang w:val="es-ES"/>
          </w:rPr>
          <w:t>2</w:t>
        </w:r>
        <w:r>
          <w:fldChar w:fldCharType="end"/>
        </w:r>
      </w:p>
    </w:sdtContent>
  </w:sdt>
  <w:p w:rsidR="000252B7" w:rsidRDefault="000252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B7" w:rsidRDefault="000252B7" w:rsidP="000252B7">
      <w:r>
        <w:separator/>
      </w:r>
    </w:p>
  </w:footnote>
  <w:footnote w:type="continuationSeparator" w:id="0">
    <w:p w:rsidR="000252B7" w:rsidRDefault="000252B7" w:rsidP="0002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4C"/>
    <w:rsid w:val="000252B7"/>
    <w:rsid w:val="001626B1"/>
    <w:rsid w:val="00191830"/>
    <w:rsid w:val="0022202D"/>
    <w:rsid w:val="004463DD"/>
    <w:rsid w:val="0053584B"/>
    <w:rsid w:val="007A2EB2"/>
    <w:rsid w:val="0086567F"/>
    <w:rsid w:val="00900D89"/>
    <w:rsid w:val="00E86F4C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4C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2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2B7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252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2B7"/>
    <w:rPr>
      <w:rFonts w:ascii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4C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2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2B7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252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2B7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astapublica@subpesc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3</cp:revision>
  <dcterms:created xsi:type="dcterms:W3CDTF">2019-11-25T12:06:00Z</dcterms:created>
  <dcterms:modified xsi:type="dcterms:W3CDTF">2019-11-25T12:06:00Z</dcterms:modified>
</cp:coreProperties>
</file>