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7" w:rsidRPr="00065749" w:rsidRDefault="00FE2227" w:rsidP="00147A40">
      <w:pPr>
        <w:pStyle w:val="Prrafodelista"/>
        <w:jc w:val="both"/>
        <w:rPr>
          <w:rFonts w:ascii="gobCL" w:hAnsi="gobCL"/>
          <w:b/>
          <w:u w:val="single"/>
        </w:rPr>
      </w:pPr>
      <w:r w:rsidRPr="00065749">
        <w:rPr>
          <w:rFonts w:ascii="gobCL" w:hAnsi="gobCL"/>
          <w:b/>
          <w:u w:val="single"/>
        </w:rPr>
        <w:t>ACLARACIONES A BASES ADMINISTRATIVAS SUBASTA LICENCIA TRANSABLE DE PESCA TIPO B</w:t>
      </w:r>
    </w:p>
    <w:p w:rsidR="00FE2227" w:rsidRPr="00065749" w:rsidRDefault="00FE2227" w:rsidP="00147A40">
      <w:pPr>
        <w:pStyle w:val="Prrafodelista"/>
        <w:jc w:val="both"/>
        <w:rPr>
          <w:rFonts w:ascii="gobCL" w:hAnsi="gobCL"/>
          <w:b/>
        </w:rPr>
      </w:pPr>
    </w:p>
    <w:p w:rsidR="002660C7" w:rsidRPr="00065749" w:rsidRDefault="00FE2227" w:rsidP="00147A40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  <w:b/>
        </w:rPr>
        <w:t xml:space="preserve">Aclaraciones a las bases dirigidas al correo electrónico </w:t>
      </w:r>
      <w:hyperlink r:id="rId8" w:history="1">
        <w:r w:rsidRPr="00065749">
          <w:rPr>
            <w:rFonts w:ascii="gobCL" w:hAnsi="gobCL"/>
            <w:b/>
          </w:rPr>
          <w:t>subastapublica@subpesca.cl</w:t>
        </w:r>
      </w:hyperlink>
      <w:r w:rsidRPr="00065749">
        <w:rPr>
          <w:rFonts w:ascii="gobCL" w:hAnsi="gobCL"/>
          <w:b/>
        </w:rPr>
        <w:t xml:space="preserve"> a la fecha de </w:t>
      </w:r>
      <w:r w:rsidR="003A394C" w:rsidRPr="00065749">
        <w:rPr>
          <w:rFonts w:ascii="gobCL" w:hAnsi="gobCL"/>
          <w:b/>
        </w:rPr>
        <w:t>1</w:t>
      </w:r>
      <w:r w:rsidR="00D614C6">
        <w:rPr>
          <w:rFonts w:ascii="gobCL" w:hAnsi="gobCL"/>
          <w:b/>
        </w:rPr>
        <w:t>2</w:t>
      </w:r>
      <w:r w:rsidRPr="00065749">
        <w:rPr>
          <w:rFonts w:ascii="gobCL" w:hAnsi="gobCL"/>
          <w:b/>
        </w:rPr>
        <w:t xml:space="preserve"> </w:t>
      </w:r>
      <w:r w:rsidR="003A394C" w:rsidRPr="00065749">
        <w:rPr>
          <w:rFonts w:ascii="gobCL" w:hAnsi="gobCL"/>
          <w:b/>
        </w:rPr>
        <w:t>marzo</w:t>
      </w:r>
      <w:r w:rsidRPr="00065749">
        <w:rPr>
          <w:rFonts w:ascii="gobCL" w:hAnsi="gobCL"/>
          <w:b/>
        </w:rPr>
        <w:t xml:space="preserve"> de 20</w:t>
      </w:r>
      <w:r w:rsidR="003A394C" w:rsidRPr="00065749">
        <w:rPr>
          <w:rFonts w:ascii="gobCL" w:hAnsi="gobCL"/>
          <w:b/>
        </w:rPr>
        <w:t>20</w:t>
      </w:r>
      <w:r w:rsidRPr="00065749">
        <w:rPr>
          <w:rFonts w:ascii="gobCL" w:hAnsi="gobCL"/>
          <w:b/>
        </w:rPr>
        <w:t xml:space="preserve">, </w:t>
      </w:r>
      <w:r w:rsidR="002660C7" w:rsidRPr="00065749">
        <w:rPr>
          <w:rFonts w:ascii="gobCL" w:hAnsi="gobCL"/>
          <w:b/>
        </w:rPr>
        <w:t>según el orden de llegada y dentro del plazo de 72 horas.</w:t>
      </w:r>
    </w:p>
    <w:p w:rsidR="002660C7" w:rsidRPr="00065749" w:rsidRDefault="002660C7" w:rsidP="00147A40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 xml:space="preserve">Agradeceré explicar por qué el lote N° 41 de la subasta de </w:t>
      </w:r>
      <w:proofErr w:type="spellStart"/>
      <w:r w:rsidRPr="00065749">
        <w:rPr>
          <w:rFonts w:ascii="gobCL" w:hAnsi="gobCL"/>
        </w:rPr>
        <w:t>LTP</w:t>
      </w:r>
      <w:proofErr w:type="spellEnd"/>
      <w:r w:rsidRPr="00065749">
        <w:rPr>
          <w:rFonts w:ascii="gobCL" w:hAnsi="gobCL"/>
        </w:rPr>
        <w:t xml:space="preserve"> Clase B de la Unidad de Pesquería del recurso Sardina común de la V a X regiones próxima a realizarse tiene un tamaño de 1,567%, cuando dicho lote en la subasta original realizada en el año 2015 tenía un tamaño del 3%.</w:t>
      </w:r>
    </w:p>
    <w:p w:rsidR="002660C7" w:rsidRPr="00065749" w:rsidRDefault="002660C7" w:rsidP="00147A40">
      <w:pPr>
        <w:ind w:left="708"/>
        <w:jc w:val="both"/>
        <w:rPr>
          <w:rFonts w:ascii="gobCL" w:hAnsi="gobCL"/>
        </w:rPr>
      </w:pPr>
    </w:p>
    <w:p w:rsidR="002660C7" w:rsidRPr="00065749" w:rsidRDefault="002660C7" w:rsidP="00D614C6">
      <w:pPr>
        <w:ind w:left="1068"/>
        <w:jc w:val="both"/>
        <w:rPr>
          <w:rFonts w:ascii="gobCL" w:hAnsi="gobCL"/>
          <w:b/>
          <w:bCs/>
          <w:color w:val="1F497D" w:themeColor="text2"/>
        </w:rPr>
      </w:pPr>
      <w:r w:rsidRPr="00065749">
        <w:rPr>
          <w:rFonts w:ascii="gobCL" w:hAnsi="gobCL"/>
          <w:b/>
          <w:color w:val="1F497D" w:themeColor="text2"/>
        </w:rPr>
        <w:t>En el caso del lote 41, otorgado a través de la Resolución Exenta Nº 205 de 2016, fue modificad</w:t>
      </w:r>
      <w:r w:rsidR="000673EA" w:rsidRPr="00065749">
        <w:rPr>
          <w:rFonts w:ascii="gobCL" w:hAnsi="gobCL"/>
          <w:b/>
          <w:color w:val="1F497D" w:themeColor="text2"/>
        </w:rPr>
        <w:t>o</w:t>
      </w:r>
      <w:r w:rsidRPr="00065749">
        <w:rPr>
          <w:rFonts w:ascii="gobCL" w:hAnsi="gobCL"/>
          <w:b/>
          <w:color w:val="1F497D" w:themeColor="text2"/>
        </w:rPr>
        <w:t xml:space="preserve"> </w:t>
      </w:r>
      <w:r w:rsidR="000673EA" w:rsidRPr="00065749">
        <w:rPr>
          <w:rFonts w:ascii="gobCL" w:hAnsi="gobCL"/>
          <w:b/>
          <w:color w:val="1F497D" w:themeColor="text2"/>
        </w:rPr>
        <w:t xml:space="preserve">producto de compraventa que realizó SOCIEDAD PESQUERA LANDES S.A. </w:t>
      </w:r>
      <w:r w:rsidR="00407A8E" w:rsidRPr="00065749">
        <w:rPr>
          <w:rFonts w:ascii="gobCL" w:hAnsi="gobCL"/>
          <w:b/>
          <w:color w:val="1F497D" w:themeColor="text2"/>
        </w:rPr>
        <w:t>a</w:t>
      </w:r>
      <w:r w:rsidR="000673EA" w:rsidRPr="00065749">
        <w:rPr>
          <w:rFonts w:ascii="gobCL" w:hAnsi="gobCL"/>
          <w:b/>
          <w:color w:val="1F497D" w:themeColor="text2"/>
        </w:rPr>
        <w:t xml:space="preserve"> PESQUERA LEPE LIMITADA. Es así como a través de la Resolución Exenta</w:t>
      </w:r>
      <w:r w:rsidRPr="00065749">
        <w:rPr>
          <w:rFonts w:ascii="gobCL" w:hAnsi="gobCL"/>
          <w:b/>
          <w:color w:val="1F497D" w:themeColor="text2"/>
        </w:rPr>
        <w:t xml:space="preserve"> Nº 1925 de 2018</w:t>
      </w:r>
      <w:r w:rsidR="000673EA" w:rsidRPr="00065749">
        <w:rPr>
          <w:rFonts w:ascii="gobCL" w:hAnsi="gobCL"/>
          <w:b/>
          <w:color w:val="1F497D" w:themeColor="text2"/>
        </w:rPr>
        <w:t>, rectificada por</w:t>
      </w:r>
      <w:r w:rsidRPr="00065749">
        <w:rPr>
          <w:rFonts w:ascii="gobCL" w:hAnsi="gobCL"/>
          <w:b/>
          <w:color w:val="1F497D" w:themeColor="text2"/>
        </w:rPr>
        <w:t xml:space="preserve"> Nº 122 de 2019</w:t>
      </w:r>
      <w:r w:rsidR="000673EA" w:rsidRPr="00065749">
        <w:rPr>
          <w:rFonts w:ascii="gobCL" w:hAnsi="gobCL"/>
          <w:b/>
          <w:color w:val="1F497D" w:themeColor="text2"/>
        </w:rPr>
        <w:t xml:space="preserve"> y modificada por N° 123 de 2019</w:t>
      </w:r>
      <w:r w:rsidRPr="00065749">
        <w:rPr>
          <w:rFonts w:ascii="gobCL" w:hAnsi="gobCL"/>
          <w:b/>
          <w:color w:val="1F497D" w:themeColor="text2"/>
        </w:rPr>
        <w:t xml:space="preserve">, </w:t>
      </w:r>
      <w:r w:rsidR="000673EA" w:rsidRPr="00065749">
        <w:rPr>
          <w:rFonts w:ascii="gobCL" w:hAnsi="gobCL"/>
          <w:b/>
          <w:color w:val="1F497D" w:themeColor="text2"/>
        </w:rPr>
        <w:t xml:space="preserve">se </w:t>
      </w:r>
      <w:r w:rsidRPr="00065749">
        <w:rPr>
          <w:rFonts w:ascii="gobCL" w:hAnsi="gobCL"/>
          <w:b/>
          <w:color w:val="1F497D" w:themeColor="text2"/>
        </w:rPr>
        <w:t>otorgó</w:t>
      </w:r>
      <w:r w:rsidR="000673EA" w:rsidRPr="00065749">
        <w:rPr>
          <w:rFonts w:ascii="gobCL" w:hAnsi="gobCL"/>
          <w:b/>
          <w:color w:val="1F497D" w:themeColor="text2"/>
        </w:rPr>
        <w:t xml:space="preserve"> una</w:t>
      </w:r>
      <w:r w:rsidRPr="00065749">
        <w:rPr>
          <w:rFonts w:ascii="gobCL" w:hAnsi="gobCL"/>
          <w:b/>
          <w:color w:val="1F497D" w:themeColor="text2"/>
        </w:rPr>
        <w:t xml:space="preserve"> </w:t>
      </w:r>
      <w:proofErr w:type="spellStart"/>
      <w:r w:rsidRPr="00065749">
        <w:rPr>
          <w:rFonts w:ascii="gobCL" w:hAnsi="gobCL"/>
          <w:b/>
          <w:color w:val="1F497D" w:themeColor="text2"/>
        </w:rPr>
        <w:t>LTP</w:t>
      </w:r>
      <w:proofErr w:type="spellEnd"/>
      <w:r w:rsidRPr="00065749">
        <w:rPr>
          <w:rFonts w:ascii="gobCL" w:hAnsi="gobCL"/>
          <w:b/>
          <w:color w:val="1F497D" w:themeColor="text2"/>
        </w:rPr>
        <w:t xml:space="preserve"> clase B a </w:t>
      </w:r>
      <w:r w:rsidR="000673EA" w:rsidRPr="00065749">
        <w:rPr>
          <w:rFonts w:ascii="gobCL" w:hAnsi="gobCL"/>
          <w:b/>
          <w:color w:val="1F497D" w:themeColor="text2"/>
        </w:rPr>
        <w:t>PESQUERA LEPE LIMITADA, por</w:t>
      </w:r>
      <w:r w:rsidRPr="00065749">
        <w:rPr>
          <w:rFonts w:ascii="gobCL" w:hAnsi="gobCL"/>
          <w:b/>
          <w:color w:val="1F497D" w:themeColor="text2"/>
        </w:rPr>
        <w:t xml:space="preserve"> un coeficiente de participación de 0,00</w:t>
      </w:r>
      <w:r w:rsidR="00407A8E" w:rsidRPr="00065749">
        <w:rPr>
          <w:rFonts w:ascii="gobCL" w:hAnsi="gobCL"/>
          <w:b/>
          <w:color w:val="1F497D" w:themeColor="text2"/>
        </w:rPr>
        <w:t>215</w:t>
      </w:r>
      <w:r w:rsidRPr="00065749">
        <w:rPr>
          <w:rFonts w:ascii="gobCL" w:hAnsi="gobCL"/>
          <w:b/>
          <w:color w:val="1F497D" w:themeColor="text2"/>
        </w:rPr>
        <w:t xml:space="preserve"> de la fracción industrial de la cuota global anual de captura de la unidad de pesquería de Sardina común, en la unidad de pesquería Valparaíso a Los Lagos</w:t>
      </w:r>
      <w:r w:rsidR="000673EA" w:rsidRPr="00065749">
        <w:rPr>
          <w:rFonts w:ascii="gobCL" w:hAnsi="gobCL"/>
          <w:b/>
          <w:color w:val="1F497D" w:themeColor="text2"/>
        </w:rPr>
        <w:t>. P</w:t>
      </w:r>
      <w:r w:rsidRPr="00065749">
        <w:rPr>
          <w:rFonts w:ascii="gobCL" w:hAnsi="gobCL"/>
          <w:b/>
          <w:color w:val="1F497D" w:themeColor="text2"/>
        </w:rPr>
        <w:t xml:space="preserve">or lo tanto, la renuncia de </w:t>
      </w:r>
      <w:r w:rsidR="000673EA" w:rsidRPr="00065749">
        <w:rPr>
          <w:rFonts w:ascii="gobCL" w:hAnsi="gobCL"/>
          <w:b/>
          <w:color w:val="1F497D" w:themeColor="text2"/>
        </w:rPr>
        <w:t xml:space="preserve">SOCIEDAD PESQUERA LANDES S.A. por dicho lote </w:t>
      </w:r>
      <w:r w:rsidRPr="00065749">
        <w:rPr>
          <w:rFonts w:ascii="gobCL" w:hAnsi="gobCL"/>
          <w:b/>
          <w:color w:val="1F497D" w:themeColor="text2"/>
        </w:rPr>
        <w:t>se refiere al coeficiente 0,00</w:t>
      </w:r>
      <w:r w:rsidR="00407A8E" w:rsidRPr="00065749">
        <w:rPr>
          <w:rFonts w:ascii="gobCL" w:hAnsi="gobCL"/>
          <w:b/>
          <w:color w:val="1F497D" w:themeColor="text2"/>
        </w:rPr>
        <w:t>235</w:t>
      </w:r>
      <w:r w:rsidRPr="00065749">
        <w:rPr>
          <w:rFonts w:ascii="gobCL" w:hAnsi="gobCL"/>
          <w:b/>
          <w:color w:val="1F497D" w:themeColor="text2"/>
        </w:rPr>
        <w:t>, que equivale a un 1,567% de la cuota a subastar.</w:t>
      </w:r>
    </w:p>
    <w:p w:rsidR="00CB1D02" w:rsidRPr="00065749" w:rsidRDefault="00CB1D02" w:rsidP="00147A40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 xml:space="preserve">Se </w:t>
      </w:r>
      <w:r w:rsidR="0000309F" w:rsidRPr="00065749">
        <w:rPr>
          <w:rFonts w:ascii="gobCL" w:hAnsi="gobCL"/>
        </w:rPr>
        <w:t>han publicado dos bases acerca de lotes renunciados y de lotes considerados desiertos. En ambos se identifican recursos a licitar de una misma unidad de pesquería, en consecuencia mis consultas son:</w:t>
      </w:r>
      <w:r w:rsidRPr="00065749">
        <w:rPr>
          <w:rFonts w:ascii="gobCL" w:hAnsi="gobCL" w:cs="Courier New"/>
        </w:rPr>
        <w:t xml:space="preserve"> </w:t>
      </w:r>
    </w:p>
    <w:p w:rsidR="00CB1D02" w:rsidRPr="00065749" w:rsidRDefault="00CB1D02" w:rsidP="00147A40">
      <w:pPr>
        <w:pStyle w:val="Prrafodelista"/>
        <w:ind w:left="1068"/>
        <w:jc w:val="both"/>
        <w:rPr>
          <w:rFonts w:ascii="gobCL" w:hAnsi="gobCL"/>
        </w:rPr>
      </w:pPr>
    </w:p>
    <w:p w:rsidR="00CB1D02" w:rsidRPr="00065749" w:rsidRDefault="0000309F" w:rsidP="00065749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>¿Se debe presentar dos juegos independientes de sobres de antecedentes administrativos y de ofertas económicas en caso de querer ofertar tanto para recursos de la Res Ex 713 y la Res Ex 712</w:t>
      </w:r>
      <w:r w:rsidR="00CB1D02" w:rsidRPr="00065749">
        <w:rPr>
          <w:rFonts w:ascii="gobCL" w:hAnsi="gobCL"/>
        </w:rPr>
        <w:t xml:space="preserve"> </w:t>
      </w:r>
      <w:r w:rsidRPr="00065749">
        <w:rPr>
          <w:rFonts w:ascii="gobCL" w:hAnsi="gobCL"/>
        </w:rPr>
        <w:t>o basta que se presente 1 solo sobre de antecedentes administrativos y uno de ofertas económicas, por favor explicar con detalle para no cometer errores de forma.</w:t>
      </w:r>
    </w:p>
    <w:p w:rsidR="00147A40" w:rsidRPr="00065749" w:rsidRDefault="00147A40" w:rsidP="00147A40">
      <w:pPr>
        <w:pStyle w:val="Prrafodelista"/>
        <w:ind w:left="1068"/>
        <w:jc w:val="both"/>
        <w:rPr>
          <w:rFonts w:ascii="gobCL" w:hAnsi="gobCL"/>
        </w:rPr>
      </w:pPr>
    </w:p>
    <w:p w:rsidR="00147A40" w:rsidRPr="00065749" w:rsidRDefault="00147A40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 w:rsidRPr="00065749">
        <w:rPr>
          <w:rFonts w:ascii="gobCL" w:hAnsi="gobCL"/>
          <w:b/>
          <w:color w:val="1F497D" w:themeColor="text2"/>
        </w:rPr>
        <w:t>Se deben presentar dos juegos independientes de sobres de antecedentes administrativos y ofertas económicas para cada subasta establecida mediante Resoluciones Exentas N° 712 y N° 713 de 2020. Observando los requisitos en ellas mencionados</w:t>
      </w:r>
      <w:r w:rsidR="00065749">
        <w:rPr>
          <w:rFonts w:ascii="gobCL" w:hAnsi="gobCL"/>
          <w:b/>
          <w:color w:val="1F497D" w:themeColor="text2"/>
        </w:rPr>
        <w:t>,</w:t>
      </w:r>
      <w:r w:rsidRPr="00065749">
        <w:rPr>
          <w:rFonts w:ascii="gobCL" w:hAnsi="gobCL"/>
          <w:b/>
          <w:color w:val="1F497D" w:themeColor="text2"/>
        </w:rPr>
        <w:t xml:space="preserve"> considera</w:t>
      </w:r>
      <w:r w:rsidR="00065749">
        <w:rPr>
          <w:rFonts w:ascii="gobCL" w:hAnsi="gobCL"/>
          <w:b/>
          <w:color w:val="1F497D" w:themeColor="text2"/>
        </w:rPr>
        <w:t>n</w:t>
      </w:r>
      <w:r w:rsidRPr="00065749">
        <w:rPr>
          <w:rFonts w:ascii="gobCL" w:hAnsi="gobCL"/>
          <w:b/>
          <w:color w:val="1F497D" w:themeColor="text2"/>
        </w:rPr>
        <w:t xml:space="preserve">do </w:t>
      </w:r>
      <w:r w:rsidR="00065749">
        <w:rPr>
          <w:rFonts w:ascii="gobCL" w:hAnsi="gobCL"/>
          <w:b/>
          <w:color w:val="1F497D" w:themeColor="text2"/>
        </w:rPr>
        <w:t xml:space="preserve">además que estos son distintos </w:t>
      </w:r>
      <w:r w:rsidRPr="00065749">
        <w:rPr>
          <w:rFonts w:ascii="gobCL" w:hAnsi="gobCL"/>
          <w:b/>
          <w:color w:val="1F497D" w:themeColor="text2"/>
        </w:rPr>
        <w:t>si se trat</w:t>
      </w:r>
      <w:r w:rsidR="00065749">
        <w:rPr>
          <w:rFonts w:ascii="gobCL" w:hAnsi="gobCL"/>
          <w:b/>
          <w:color w:val="1F497D" w:themeColor="text2"/>
        </w:rPr>
        <w:t>a</w:t>
      </w:r>
      <w:r w:rsidRPr="00065749">
        <w:rPr>
          <w:rFonts w:ascii="gobCL" w:hAnsi="gobCL"/>
          <w:b/>
          <w:color w:val="1F497D" w:themeColor="text2"/>
        </w:rPr>
        <w:t xml:space="preserve"> de lotes reservados a empresas de menor tamaño o lotes todo oferente.</w:t>
      </w:r>
    </w:p>
    <w:p w:rsidR="00CB1D02" w:rsidRPr="00065749" w:rsidRDefault="00CB1D02" w:rsidP="00147A40">
      <w:pPr>
        <w:pStyle w:val="Prrafodelista"/>
        <w:ind w:left="1068"/>
        <w:jc w:val="both"/>
        <w:rPr>
          <w:rFonts w:ascii="gobCL" w:hAnsi="gobCL"/>
        </w:rPr>
      </w:pPr>
    </w:p>
    <w:p w:rsidR="00CB1D02" w:rsidRPr="00065749" w:rsidRDefault="00CB1D02" w:rsidP="00147A40">
      <w:pPr>
        <w:pStyle w:val="Prrafodelista"/>
        <w:ind w:left="1068"/>
        <w:jc w:val="both"/>
        <w:rPr>
          <w:rFonts w:ascii="gobCL" w:hAnsi="gobCL"/>
        </w:rPr>
      </w:pPr>
      <w:r w:rsidRPr="00065749">
        <w:rPr>
          <w:rFonts w:ascii="gobCL" w:hAnsi="gobCL"/>
        </w:rPr>
        <w:t xml:space="preserve">b) </w:t>
      </w:r>
      <w:r w:rsidR="0000309F" w:rsidRPr="00065749">
        <w:rPr>
          <w:rFonts w:ascii="gobCL" w:hAnsi="gobCL"/>
        </w:rPr>
        <w:t>Se tratará de dos licitaciones distintas, que se celebrarán el mismo día y con una hora de diferencia y que ambas licitarán el mismo recurso y de la misma unidad d</w:t>
      </w:r>
      <w:r w:rsidR="00C25351">
        <w:rPr>
          <w:rFonts w:ascii="gobCL" w:hAnsi="gobCL"/>
        </w:rPr>
        <w:t>e pesquería, a saber Anchoveta R</w:t>
      </w:r>
      <w:r w:rsidR="0000309F" w:rsidRPr="00065749">
        <w:rPr>
          <w:rFonts w:ascii="gobCL" w:hAnsi="gobCL"/>
        </w:rPr>
        <w:t>egiones de Arica y Parinacota a Antofagasta. En este caso y para ofertar a esa unidad de pesquería señalada, se deben presentar un juego de sobres para cada licitación o bastaría con un sobre de antecedentes administrativos y dos sobres de ofertas económicas</w:t>
      </w:r>
      <w:proofErr w:type="gramStart"/>
      <w:r w:rsidR="0000309F" w:rsidRPr="00065749">
        <w:rPr>
          <w:rFonts w:ascii="gobCL" w:hAnsi="gobCL"/>
        </w:rPr>
        <w:t>?</w:t>
      </w:r>
      <w:proofErr w:type="gramEnd"/>
    </w:p>
    <w:p w:rsidR="00147A40" w:rsidRPr="00065749" w:rsidRDefault="00147A40" w:rsidP="00147A40">
      <w:pPr>
        <w:pStyle w:val="Prrafodelista"/>
        <w:ind w:left="1068"/>
        <w:jc w:val="both"/>
        <w:rPr>
          <w:rFonts w:ascii="gobCL" w:hAnsi="gobCL"/>
        </w:rPr>
      </w:pPr>
    </w:p>
    <w:p w:rsidR="00C25351" w:rsidRDefault="00147A40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 w:rsidRPr="00065749">
        <w:rPr>
          <w:rFonts w:ascii="gobCL" w:hAnsi="gobCL"/>
          <w:b/>
          <w:color w:val="1F497D" w:themeColor="text2"/>
        </w:rPr>
        <w:t>La respuesta en la pregunta anterior</w:t>
      </w:r>
      <w:r w:rsidR="00AC62B1" w:rsidRPr="00065749">
        <w:rPr>
          <w:rFonts w:ascii="gobCL" w:hAnsi="gobCL"/>
          <w:b/>
          <w:color w:val="1F497D" w:themeColor="text2"/>
        </w:rPr>
        <w:t>.</w:t>
      </w:r>
      <w:r w:rsidRPr="00065749">
        <w:rPr>
          <w:rFonts w:ascii="gobCL" w:hAnsi="gobCL"/>
          <w:b/>
          <w:color w:val="1F497D" w:themeColor="text2"/>
        </w:rPr>
        <w:t xml:space="preserve"> </w:t>
      </w:r>
      <w:r w:rsidR="00AC62B1" w:rsidRPr="00065749">
        <w:rPr>
          <w:rFonts w:ascii="gobCL" w:hAnsi="gobCL"/>
          <w:b/>
          <w:color w:val="1F497D" w:themeColor="text2"/>
        </w:rPr>
        <w:t>L</w:t>
      </w:r>
      <w:r w:rsidRPr="00065749">
        <w:rPr>
          <w:rFonts w:ascii="gobCL" w:hAnsi="gobCL"/>
          <w:b/>
          <w:color w:val="1F497D" w:themeColor="text2"/>
        </w:rPr>
        <w:t xml:space="preserve">as aperturas de los sobres 2 y 3 se </w:t>
      </w:r>
      <w:r w:rsidR="00AC62B1" w:rsidRPr="00065749">
        <w:rPr>
          <w:rFonts w:ascii="gobCL" w:hAnsi="gobCL"/>
          <w:b/>
          <w:color w:val="1F497D" w:themeColor="text2"/>
        </w:rPr>
        <w:t>efectuarán</w:t>
      </w:r>
      <w:r w:rsidRPr="00065749">
        <w:rPr>
          <w:rFonts w:ascii="gobCL" w:hAnsi="gobCL"/>
          <w:b/>
          <w:color w:val="1F497D" w:themeColor="text2"/>
        </w:rPr>
        <w:t xml:space="preserve"> el mismo día pe</w:t>
      </w:r>
      <w:r w:rsidR="00AC62B1" w:rsidRPr="00065749">
        <w:rPr>
          <w:rFonts w:ascii="gobCL" w:hAnsi="gobCL"/>
          <w:b/>
          <w:color w:val="1F497D" w:themeColor="text2"/>
        </w:rPr>
        <w:t>ro</w:t>
      </w:r>
      <w:r w:rsidR="00C25351">
        <w:rPr>
          <w:rFonts w:ascii="gobCL" w:hAnsi="gobCL"/>
          <w:b/>
          <w:color w:val="1F497D" w:themeColor="text2"/>
        </w:rPr>
        <w:t xml:space="preserve"> en distinto horario, según se establece en las bases. </w:t>
      </w:r>
    </w:p>
    <w:p w:rsidR="00147A40" w:rsidRDefault="00C25351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lastRenderedPageBreak/>
        <w:t>Los recursos a licitar se agrupan del modo que sigue:</w:t>
      </w:r>
    </w:p>
    <w:p w:rsidR="00C25351" w:rsidRPr="00065749" w:rsidRDefault="00C25351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</w:p>
    <w:p w:rsidR="00065749" w:rsidRDefault="00147A40" w:rsidP="00065749">
      <w:pPr>
        <w:pStyle w:val="Prrafodelista"/>
        <w:numPr>
          <w:ilvl w:val="0"/>
          <w:numId w:val="8"/>
        </w:numPr>
        <w:jc w:val="both"/>
        <w:rPr>
          <w:rFonts w:ascii="gobCL" w:eastAsia="Times New Roman" w:hAnsi="gobCL"/>
          <w:b/>
          <w:color w:val="1F497D" w:themeColor="text2"/>
          <w:lang w:val="es-ES" w:eastAsia="es-ES"/>
        </w:rPr>
      </w:pPr>
      <w:r w:rsidRPr="00065749">
        <w:rPr>
          <w:rFonts w:ascii="gobCL" w:hAnsi="gobCL"/>
          <w:b/>
          <w:color w:val="1F497D" w:themeColor="text2"/>
          <w:u w:val="single"/>
        </w:rPr>
        <w:t>Lotes desiertos:</w:t>
      </w:r>
      <w:r w:rsidRPr="00065749">
        <w:rPr>
          <w:rFonts w:ascii="gobCL" w:hAnsi="gobCL"/>
          <w:b/>
          <w:color w:val="1F497D" w:themeColor="text2"/>
        </w:rPr>
        <w:t xml:space="preserve"> Unidades de Pesquería de Anchoveta Regiones de Arica y Parinacota a Antofagasta y Merluza de Tres Aletas </w:t>
      </w:r>
      <w:r w:rsidRPr="00065749">
        <w:rPr>
          <w:rFonts w:ascii="gobCL" w:eastAsia="Times New Roman" w:hAnsi="gobCL" w:cs="Arial"/>
          <w:b/>
          <w:color w:val="1F497D" w:themeColor="text2"/>
          <w:spacing w:val="-2"/>
          <w:lang w:val="es-ES_tradnl" w:eastAsia="es-ES"/>
        </w:rPr>
        <w:t xml:space="preserve">comprendida desde el paralelo 41° 28,6’ </w:t>
      </w:r>
      <w:proofErr w:type="spellStart"/>
      <w:r w:rsidRPr="00065749">
        <w:rPr>
          <w:rFonts w:ascii="gobCL" w:eastAsia="Times New Roman" w:hAnsi="gobCL" w:cs="Arial"/>
          <w:b/>
          <w:color w:val="1F497D" w:themeColor="text2"/>
          <w:spacing w:val="-2"/>
          <w:lang w:val="es-ES_tradnl" w:eastAsia="es-ES"/>
        </w:rPr>
        <w:t>L.S</w:t>
      </w:r>
      <w:proofErr w:type="spellEnd"/>
      <w:r w:rsidRPr="00065749">
        <w:rPr>
          <w:rFonts w:ascii="gobCL" w:eastAsia="Times New Roman" w:hAnsi="gobCL" w:cs="Arial"/>
          <w:b/>
          <w:color w:val="1F497D" w:themeColor="text2"/>
          <w:spacing w:val="-2"/>
          <w:lang w:val="es-ES_tradnl" w:eastAsia="es-ES"/>
        </w:rPr>
        <w:t>. al Sur</w:t>
      </w:r>
      <w:r w:rsidRPr="00065749">
        <w:rPr>
          <w:rFonts w:ascii="gobCL" w:eastAsia="Times New Roman" w:hAnsi="gobCL"/>
          <w:b/>
          <w:color w:val="1F497D" w:themeColor="text2"/>
          <w:lang w:val="es-ES" w:eastAsia="es-ES"/>
        </w:rPr>
        <w:t>.</w:t>
      </w:r>
    </w:p>
    <w:p w:rsidR="00065749" w:rsidRDefault="00065749" w:rsidP="00065749">
      <w:pPr>
        <w:pStyle w:val="Prrafodelista"/>
        <w:ind w:left="1428"/>
        <w:jc w:val="both"/>
        <w:rPr>
          <w:rFonts w:ascii="gobCL" w:eastAsia="Times New Roman" w:hAnsi="gobCL"/>
          <w:b/>
          <w:color w:val="1F497D" w:themeColor="text2"/>
          <w:lang w:val="es-ES" w:eastAsia="es-ES"/>
        </w:rPr>
      </w:pPr>
    </w:p>
    <w:p w:rsidR="00AC62B1" w:rsidRPr="00065749" w:rsidRDefault="00DD7EC8" w:rsidP="00065749">
      <w:pPr>
        <w:pStyle w:val="Prrafodelista"/>
        <w:numPr>
          <w:ilvl w:val="0"/>
          <w:numId w:val="8"/>
        </w:numPr>
        <w:jc w:val="both"/>
        <w:rPr>
          <w:rFonts w:ascii="gobCL" w:eastAsia="Times New Roman" w:hAnsi="gobCL"/>
          <w:b/>
          <w:color w:val="1F497D" w:themeColor="text2"/>
          <w:lang w:val="es-ES" w:eastAsia="es-ES"/>
        </w:rPr>
      </w:pPr>
      <w:r w:rsidRPr="00065749">
        <w:rPr>
          <w:rFonts w:ascii="gobCL" w:eastAsia="Times New Roman" w:hAnsi="gobCL"/>
          <w:b/>
          <w:color w:val="1F497D" w:themeColor="text2"/>
          <w:u w:val="single"/>
          <w:lang w:val="es-ES" w:eastAsia="es-ES"/>
        </w:rPr>
        <w:t>Lotes renunciados:</w:t>
      </w:r>
      <w:r w:rsidRPr="00065749">
        <w:rPr>
          <w:rFonts w:ascii="gobCL" w:eastAsia="Times New Roman" w:hAnsi="gobCL"/>
          <w:b/>
          <w:color w:val="1F497D" w:themeColor="text2"/>
          <w:lang w:val="es-ES" w:eastAsia="es-ES"/>
        </w:rPr>
        <w:t xml:space="preserve"> Unidades de Pesquería de Sardina Común Regiones de Valparaíso a Los Lagos</w:t>
      </w:r>
      <w:r w:rsidR="00AC62B1" w:rsidRPr="00065749">
        <w:rPr>
          <w:rFonts w:ascii="gobCL" w:eastAsia="Times New Roman" w:hAnsi="gobCL"/>
          <w:b/>
          <w:color w:val="1F497D" w:themeColor="text2"/>
          <w:lang w:val="es-ES" w:eastAsia="es-ES"/>
        </w:rPr>
        <w:t xml:space="preserve">, </w:t>
      </w:r>
      <w:r w:rsidR="00AC62B1" w:rsidRPr="00065749">
        <w:rPr>
          <w:rFonts w:ascii="gobCL" w:eastAsia="Times New Roman" w:hAnsi="gobCL" w:cs="Arial"/>
          <w:b/>
          <w:color w:val="1F497D" w:themeColor="text2"/>
          <w:spacing w:val="-2"/>
          <w:lang w:val="es-ES_tradnl" w:eastAsia="es-ES"/>
        </w:rPr>
        <w:t>Anchoveta Regiones de Atacama a Coquimbo y Anchoveta Regiones de Arica y Parinacota a Antofagasta</w:t>
      </w:r>
      <w:r w:rsidR="00065749" w:rsidRPr="00065749">
        <w:rPr>
          <w:rFonts w:ascii="gobCL" w:eastAsia="Times New Roman" w:hAnsi="gobCL"/>
          <w:b/>
          <w:color w:val="1F497D" w:themeColor="text2"/>
          <w:lang w:val="es-ES" w:eastAsia="es-ES"/>
        </w:rPr>
        <w:t>.</w:t>
      </w:r>
    </w:p>
    <w:p w:rsidR="00CB1D02" w:rsidRPr="00065749" w:rsidRDefault="00CB1D02" w:rsidP="00147A40">
      <w:pPr>
        <w:pStyle w:val="Prrafodelista"/>
        <w:ind w:left="1068"/>
        <w:jc w:val="both"/>
        <w:rPr>
          <w:rFonts w:ascii="gobCL" w:hAnsi="gobCL"/>
        </w:rPr>
      </w:pPr>
    </w:p>
    <w:p w:rsidR="00CB1D02" w:rsidRDefault="0000309F" w:rsidP="00D2407A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 xml:space="preserve">Considerando las dificultades de desplazamiento que hoy se viven en nuestro país, es posible enviar por correo certificado vía </w:t>
      </w:r>
      <w:proofErr w:type="spellStart"/>
      <w:r w:rsidRPr="00065749">
        <w:rPr>
          <w:rFonts w:ascii="gobCL" w:hAnsi="gobCL"/>
        </w:rPr>
        <w:t>Chilexpress</w:t>
      </w:r>
      <w:proofErr w:type="spellEnd"/>
      <w:r w:rsidRPr="00065749">
        <w:rPr>
          <w:rFonts w:ascii="gobCL" w:hAnsi="gobCL"/>
        </w:rPr>
        <w:t xml:space="preserve"> o Correos de Chile los sobres para participar en las subastas</w:t>
      </w:r>
      <w:proofErr w:type="gramStart"/>
      <w:r w:rsidRPr="00065749">
        <w:rPr>
          <w:rFonts w:ascii="gobCL" w:hAnsi="gobCL"/>
        </w:rPr>
        <w:t>?</w:t>
      </w:r>
      <w:proofErr w:type="gramEnd"/>
      <w:r w:rsidRPr="00065749">
        <w:rPr>
          <w:rFonts w:ascii="gobCL" w:hAnsi="gobCL"/>
        </w:rPr>
        <w:t xml:space="preserve"> e</w:t>
      </w:r>
      <w:r w:rsidR="00065749">
        <w:rPr>
          <w:rFonts w:ascii="gobCL" w:hAnsi="gobCL"/>
        </w:rPr>
        <w:t xml:space="preserve">s decir enviar desde correos o </w:t>
      </w:r>
      <w:proofErr w:type="spellStart"/>
      <w:r w:rsidR="00065749">
        <w:rPr>
          <w:rFonts w:ascii="gobCL" w:hAnsi="gobCL"/>
        </w:rPr>
        <w:t>C</w:t>
      </w:r>
      <w:r w:rsidRPr="00065749">
        <w:rPr>
          <w:rFonts w:ascii="gobCL" w:hAnsi="gobCL"/>
        </w:rPr>
        <w:t>hilexpress</w:t>
      </w:r>
      <w:proofErr w:type="spellEnd"/>
      <w:r w:rsidRPr="00065749">
        <w:rPr>
          <w:rFonts w:ascii="gobCL" w:hAnsi="gobCL"/>
        </w:rPr>
        <w:t xml:space="preserve"> de Arica los sobres destinados a la oficina de partes en tiempo y forma, </w:t>
      </w:r>
      <w:r w:rsidR="00CB1D02" w:rsidRPr="00065749">
        <w:rPr>
          <w:rFonts w:ascii="gobCL" w:hAnsi="gobCL"/>
        </w:rPr>
        <w:t>según</w:t>
      </w:r>
      <w:r w:rsidRPr="00065749">
        <w:rPr>
          <w:rFonts w:ascii="gobCL" w:hAnsi="gobCL"/>
        </w:rPr>
        <w:t xml:space="preserve"> lo establecen las bases?</w:t>
      </w:r>
    </w:p>
    <w:p w:rsidR="00065749" w:rsidRPr="00065749" w:rsidRDefault="00065749" w:rsidP="00065749">
      <w:pPr>
        <w:pStyle w:val="Prrafodelista"/>
        <w:ind w:left="1068"/>
        <w:jc w:val="both"/>
        <w:rPr>
          <w:rFonts w:ascii="gobCL" w:hAnsi="gobCL"/>
        </w:rPr>
      </w:pPr>
    </w:p>
    <w:p w:rsidR="00CB1D02" w:rsidRPr="00065749" w:rsidRDefault="00065749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 w:rsidRPr="00065749">
        <w:rPr>
          <w:rFonts w:ascii="gobCL" w:hAnsi="gobCL"/>
          <w:b/>
          <w:color w:val="1F497D" w:themeColor="text2"/>
        </w:rPr>
        <w:t>Siempre ha sido posible lo anterior, cumpliendo con los plazos señalados en bases.</w:t>
      </w:r>
    </w:p>
    <w:p w:rsidR="00065749" w:rsidRPr="00065749" w:rsidRDefault="00065749" w:rsidP="00147A40">
      <w:pPr>
        <w:pStyle w:val="Prrafodelista"/>
        <w:ind w:left="1068"/>
        <w:jc w:val="both"/>
        <w:rPr>
          <w:rFonts w:ascii="gobCL" w:hAnsi="gobCL"/>
        </w:rPr>
      </w:pPr>
    </w:p>
    <w:p w:rsidR="00CB1D02" w:rsidRPr="00D2407A" w:rsidRDefault="00CB1D02" w:rsidP="00D2407A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D2407A">
        <w:rPr>
          <w:rFonts w:ascii="gobCL" w:hAnsi="gobCL"/>
        </w:rPr>
        <w:t xml:space="preserve"> </w:t>
      </w:r>
      <w:r w:rsidR="0000309F" w:rsidRPr="00D2407A">
        <w:rPr>
          <w:rFonts w:ascii="gobCL" w:hAnsi="gobCL"/>
        </w:rPr>
        <w:t>De ser favorable la respuesta anterior, esto se autorizaría</w:t>
      </w:r>
      <w:r w:rsidRPr="00D2407A">
        <w:rPr>
          <w:rFonts w:ascii="gobCL" w:hAnsi="gobCL" w:cs="Courier New"/>
        </w:rPr>
        <w:t xml:space="preserve"> </w:t>
      </w:r>
      <w:r w:rsidR="0000309F" w:rsidRPr="00D2407A">
        <w:rPr>
          <w:rFonts w:ascii="gobCL" w:hAnsi="gobCL"/>
        </w:rPr>
        <w:t xml:space="preserve">para todas las subastas, </w:t>
      </w:r>
      <w:proofErr w:type="spellStart"/>
      <w:r w:rsidR="0000309F" w:rsidRPr="00D2407A">
        <w:rPr>
          <w:rFonts w:ascii="gobCL" w:hAnsi="gobCL"/>
        </w:rPr>
        <w:t>incluída</w:t>
      </w:r>
      <w:proofErr w:type="spellEnd"/>
      <w:r w:rsidR="0000309F" w:rsidRPr="00D2407A">
        <w:rPr>
          <w:rFonts w:ascii="gobCL" w:hAnsi="gobCL"/>
        </w:rPr>
        <w:t xml:space="preserve"> La de la Cuota de Consumo Humano, o solo las de </w:t>
      </w:r>
      <w:proofErr w:type="spellStart"/>
      <w:r w:rsidR="0000309F" w:rsidRPr="00D2407A">
        <w:rPr>
          <w:rFonts w:ascii="gobCL" w:hAnsi="gobCL"/>
        </w:rPr>
        <w:t>LTP</w:t>
      </w:r>
      <w:proofErr w:type="spellEnd"/>
      <w:r w:rsidRPr="00D2407A">
        <w:rPr>
          <w:rFonts w:ascii="gobCL" w:hAnsi="gobCL"/>
        </w:rPr>
        <w:t xml:space="preserve"> </w:t>
      </w:r>
      <w:r w:rsidR="0000309F" w:rsidRPr="00D2407A">
        <w:rPr>
          <w:rFonts w:ascii="gobCL" w:hAnsi="gobCL"/>
        </w:rPr>
        <w:t>B po</w:t>
      </w:r>
      <w:r w:rsidRPr="00D2407A">
        <w:rPr>
          <w:rFonts w:ascii="gobCL" w:hAnsi="gobCL"/>
        </w:rPr>
        <w:t>drían ser remitidas vía Correo</w:t>
      </w:r>
      <w:proofErr w:type="gramStart"/>
      <w:r w:rsidRPr="00D2407A">
        <w:rPr>
          <w:rFonts w:ascii="gobCL" w:hAnsi="gobCL"/>
        </w:rPr>
        <w:t>?</w:t>
      </w:r>
      <w:proofErr w:type="gramEnd"/>
    </w:p>
    <w:p w:rsidR="00D2407A" w:rsidRDefault="00D2407A" w:rsidP="00147A40">
      <w:pPr>
        <w:pStyle w:val="Prrafodelista"/>
        <w:ind w:left="1068"/>
        <w:jc w:val="both"/>
        <w:rPr>
          <w:rFonts w:ascii="gobCL" w:hAnsi="gobCL"/>
        </w:rPr>
      </w:pPr>
    </w:p>
    <w:p w:rsidR="00D2407A" w:rsidRDefault="00D2407A" w:rsidP="00147A40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 w:rsidRPr="00D2407A">
        <w:rPr>
          <w:rFonts w:ascii="gobCL" w:hAnsi="gobCL"/>
          <w:b/>
          <w:color w:val="1F497D" w:themeColor="text2"/>
        </w:rPr>
        <w:t>Para todas las subastas.</w:t>
      </w:r>
    </w:p>
    <w:p w:rsidR="0000309F" w:rsidRPr="00065749" w:rsidRDefault="0000309F" w:rsidP="00147A40">
      <w:pPr>
        <w:jc w:val="both"/>
        <w:rPr>
          <w:rFonts w:ascii="gobCL" w:hAnsi="gobCL"/>
        </w:rPr>
      </w:pPr>
    </w:p>
    <w:p w:rsidR="0000309F" w:rsidRPr="00065749" w:rsidRDefault="0000309F" w:rsidP="00147A40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 xml:space="preserve">Si una empresa X se adjudica un lote X, es posible que el mismo día en que se acompañen y hagan entrega de los cupones de pago en original de parte de la </w:t>
      </w:r>
      <w:proofErr w:type="spellStart"/>
      <w:r w:rsidRPr="00065749">
        <w:rPr>
          <w:rFonts w:ascii="gobCL" w:hAnsi="gobCL"/>
        </w:rPr>
        <w:t>TGR</w:t>
      </w:r>
      <w:proofErr w:type="spellEnd"/>
      <w:r w:rsidRPr="00065749">
        <w:rPr>
          <w:rFonts w:ascii="gobCL" w:hAnsi="gobCL"/>
        </w:rPr>
        <w:t>, a la Subsecretaría de pesca, ese mismo día sean restituidas las garantías de seriedad de la oferta</w:t>
      </w:r>
      <w:proofErr w:type="gramStart"/>
      <w:r w:rsidRPr="00065749">
        <w:rPr>
          <w:rFonts w:ascii="gobCL" w:hAnsi="gobCL"/>
        </w:rPr>
        <w:t>?</w:t>
      </w:r>
      <w:proofErr w:type="gramEnd"/>
      <w:r w:rsidRPr="00065749">
        <w:rPr>
          <w:rFonts w:ascii="gobCL" w:hAnsi="gobCL"/>
        </w:rPr>
        <w:t xml:space="preserve"> y las empresas tengan la tranquilidad de que recuperarán sus garantías a tiempo y así optimizar los trámites, el tiempo y los flujos económicos de las compañías?</w:t>
      </w:r>
    </w:p>
    <w:p w:rsidR="0000309F" w:rsidRDefault="0000309F" w:rsidP="00147A40">
      <w:pPr>
        <w:jc w:val="both"/>
        <w:rPr>
          <w:rFonts w:ascii="gobCL" w:hAnsi="gobCL"/>
        </w:rPr>
      </w:pPr>
    </w:p>
    <w:p w:rsidR="00D2407A" w:rsidRPr="00D2407A" w:rsidRDefault="00D2407A" w:rsidP="00D2407A">
      <w:pPr>
        <w:tabs>
          <w:tab w:val="left" w:pos="1140"/>
        </w:tabs>
        <w:ind w:left="1068"/>
        <w:jc w:val="both"/>
        <w:rPr>
          <w:rFonts w:ascii="gobCL" w:hAnsi="gobCL"/>
          <w:b/>
          <w:color w:val="1F497D" w:themeColor="text2"/>
        </w:rPr>
      </w:pPr>
      <w:r w:rsidRPr="00D2407A">
        <w:rPr>
          <w:rFonts w:ascii="gobCL" w:hAnsi="gobCL"/>
          <w:b/>
          <w:color w:val="1F497D" w:themeColor="text2"/>
        </w:rPr>
        <w:t>Los plazos de devolución están explicitados en las bases respectivas.</w:t>
      </w:r>
    </w:p>
    <w:p w:rsidR="0000309F" w:rsidRPr="00065749" w:rsidRDefault="0000309F" w:rsidP="00147A40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>Respecto al punto 12 de las bases, tanto 712 como 713, el 40% se refiere al remanente que sale a licitación o al 40% de la cuota original destinada a subastar</w:t>
      </w:r>
      <w:proofErr w:type="gramStart"/>
      <w:r w:rsidRPr="00065749">
        <w:rPr>
          <w:rFonts w:ascii="gobCL" w:hAnsi="gobCL"/>
        </w:rPr>
        <w:t>?</w:t>
      </w:r>
      <w:proofErr w:type="gramEnd"/>
    </w:p>
    <w:p w:rsidR="0000309F" w:rsidRDefault="0000309F" w:rsidP="00D2407A">
      <w:pPr>
        <w:tabs>
          <w:tab w:val="left" w:pos="1103"/>
        </w:tabs>
        <w:ind w:left="1068"/>
        <w:jc w:val="both"/>
        <w:rPr>
          <w:rFonts w:ascii="gobCL" w:hAnsi="gobCL"/>
        </w:rPr>
      </w:pPr>
    </w:p>
    <w:p w:rsidR="00D2407A" w:rsidRPr="00D2407A" w:rsidRDefault="00D2407A" w:rsidP="00D2407A">
      <w:pPr>
        <w:tabs>
          <w:tab w:val="left" w:pos="1103"/>
        </w:tabs>
        <w:ind w:left="1068"/>
        <w:jc w:val="both"/>
        <w:rPr>
          <w:rFonts w:ascii="gobCL" w:hAnsi="gobCL"/>
          <w:b/>
          <w:color w:val="1F497D" w:themeColor="text2"/>
        </w:rPr>
      </w:pPr>
      <w:r w:rsidRPr="00D2407A">
        <w:rPr>
          <w:rFonts w:ascii="gobCL" w:hAnsi="gobCL"/>
          <w:b/>
          <w:color w:val="1F497D" w:themeColor="text2"/>
        </w:rPr>
        <w:t>El 40% se refiere al total original de la cuota a subastar. Ejemplo: sardina común se deberá considerar los porcentajes adjudicados el año 2015.</w:t>
      </w:r>
    </w:p>
    <w:p w:rsidR="0000309F" w:rsidRDefault="0000309F" w:rsidP="00147A40">
      <w:pPr>
        <w:pStyle w:val="Prrafodelista"/>
        <w:numPr>
          <w:ilvl w:val="0"/>
          <w:numId w:val="3"/>
        </w:numPr>
        <w:jc w:val="both"/>
        <w:rPr>
          <w:rFonts w:ascii="gobCL" w:hAnsi="gobCL"/>
        </w:rPr>
      </w:pPr>
      <w:r w:rsidRPr="00065749">
        <w:rPr>
          <w:rFonts w:ascii="gobCL" w:hAnsi="gobCL"/>
        </w:rPr>
        <w:t>Independiente de la respuesta anterior, si una empresa se adjudicó</w:t>
      </w:r>
      <w:r w:rsidRPr="00065749">
        <w:rPr>
          <w:rFonts w:ascii="Courier New" w:hAnsi="Courier New" w:cs="Courier New"/>
        </w:rPr>
        <w:t> </w:t>
      </w:r>
      <w:r w:rsidRPr="00065749">
        <w:rPr>
          <w:rFonts w:ascii="gobCL" w:hAnsi="gobCL"/>
        </w:rPr>
        <w:t>el 30% de la subasta en una licitaci</w:t>
      </w:r>
      <w:r w:rsidRPr="00065749">
        <w:rPr>
          <w:rFonts w:ascii="gobCL" w:hAnsi="gobCL" w:cs="gobCL"/>
        </w:rPr>
        <w:t>ó</w:t>
      </w:r>
      <w:r w:rsidRPr="00065749">
        <w:rPr>
          <w:rFonts w:ascii="gobCL" w:hAnsi="gobCL"/>
        </w:rPr>
        <w:t>n previa, puede participar por un nuevo 40% o solo podr</w:t>
      </w:r>
      <w:r w:rsidRPr="00065749">
        <w:rPr>
          <w:rFonts w:ascii="gobCL" w:hAnsi="gobCL" w:cs="gobCL"/>
        </w:rPr>
        <w:t>á</w:t>
      </w:r>
      <w:r w:rsidRPr="00065749">
        <w:rPr>
          <w:rFonts w:ascii="gobCL" w:hAnsi="gobCL"/>
        </w:rPr>
        <w:t xml:space="preserve"> aspirar a obtener el 10% restante a su concentraci</w:t>
      </w:r>
      <w:r w:rsidRPr="00065749">
        <w:rPr>
          <w:rFonts w:ascii="gobCL" w:hAnsi="gobCL" w:cs="gobCL"/>
        </w:rPr>
        <w:t>ó</w:t>
      </w:r>
      <w:r w:rsidR="00D2407A">
        <w:rPr>
          <w:rFonts w:ascii="gobCL" w:hAnsi="gobCL"/>
        </w:rPr>
        <w:t>n de origen autorizada</w:t>
      </w:r>
      <w:proofErr w:type="gramStart"/>
      <w:r w:rsidR="00D2407A">
        <w:rPr>
          <w:rFonts w:ascii="gobCL" w:hAnsi="gobCL"/>
        </w:rPr>
        <w:t>?</w:t>
      </w:r>
      <w:proofErr w:type="gramEnd"/>
    </w:p>
    <w:p w:rsidR="00D2407A" w:rsidRDefault="00D2407A" w:rsidP="00D2407A">
      <w:pPr>
        <w:pStyle w:val="Prrafodelista"/>
        <w:ind w:left="1068"/>
        <w:jc w:val="both"/>
        <w:rPr>
          <w:rFonts w:ascii="gobCL" w:hAnsi="gobCL"/>
        </w:rPr>
      </w:pPr>
    </w:p>
    <w:p w:rsidR="00D2407A" w:rsidRDefault="00C25351" w:rsidP="00D2407A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En dicho caso</w:t>
      </w:r>
      <w:bookmarkStart w:id="0" w:name="_GoBack"/>
      <w:bookmarkEnd w:id="0"/>
      <w:r w:rsidR="00D2407A" w:rsidRPr="00D2407A">
        <w:rPr>
          <w:rFonts w:ascii="gobCL" w:hAnsi="gobCL"/>
          <w:b/>
          <w:color w:val="1F497D" w:themeColor="text2"/>
        </w:rPr>
        <w:t xml:space="preserve"> solo podrá aspirar a adjudicarse un 10%.</w:t>
      </w:r>
    </w:p>
    <w:p w:rsidR="00D2407A" w:rsidRPr="00D2407A" w:rsidRDefault="00D2407A" w:rsidP="00D2407A">
      <w:pPr>
        <w:pStyle w:val="Prrafodelista"/>
        <w:ind w:left="1068"/>
        <w:jc w:val="both"/>
        <w:rPr>
          <w:rFonts w:ascii="gobCL" w:hAnsi="gobCL"/>
          <w:b/>
          <w:color w:val="1F497D" w:themeColor="text2"/>
        </w:rPr>
      </w:pPr>
    </w:p>
    <w:p w:rsidR="00D2407A" w:rsidRDefault="00D2407A" w:rsidP="00D2407A">
      <w:pPr>
        <w:pStyle w:val="Prrafodelista"/>
        <w:ind w:left="1068"/>
        <w:rPr>
          <w:rFonts w:ascii="gobCL" w:hAnsi="gobCL"/>
        </w:rPr>
      </w:pPr>
    </w:p>
    <w:p w:rsidR="00D614C6" w:rsidRDefault="00D614C6" w:rsidP="00D2407A">
      <w:pPr>
        <w:pStyle w:val="Prrafodelista"/>
        <w:ind w:left="1068"/>
        <w:rPr>
          <w:rFonts w:ascii="gobCL" w:hAnsi="gobCL"/>
        </w:rPr>
      </w:pPr>
    </w:p>
    <w:sectPr w:rsidR="00D614C6" w:rsidSect="00567484">
      <w:footerReference w:type="default" r:id="rId9"/>
      <w:pgSz w:w="12240" w:h="18720" w:code="14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0" w:rsidRDefault="00513EF0" w:rsidP="00567484">
      <w:pPr>
        <w:spacing w:after="0" w:line="240" w:lineRule="auto"/>
      </w:pPr>
      <w:r>
        <w:separator/>
      </w:r>
    </w:p>
  </w:endnote>
  <w:endnote w:type="continuationSeparator" w:id="0">
    <w:p w:rsidR="00513EF0" w:rsidRDefault="00513EF0" w:rsidP="0056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08185"/>
      <w:docPartObj>
        <w:docPartGallery w:val="Page Numbers (Bottom of Page)"/>
        <w:docPartUnique/>
      </w:docPartObj>
    </w:sdtPr>
    <w:sdtEndPr/>
    <w:sdtContent>
      <w:p w:rsidR="00567484" w:rsidRDefault="005674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51" w:rsidRPr="00C25351">
          <w:rPr>
            <w:noProof/>
            <w:lang w:val="es-ES"/>
          </w:rPr>
          <w:t>2</w:t>
        </w:r>
        <w:r>
          <w:fldChar w:fldCharType="end"/>
        </w:r>
      </w:p>
    </w:sdtContent>
  </w:sdt>
  <w:p w:rsidR="00567484" w:rsidRDefault="005674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0" w:rsidRDefault="00513EF0" w:rsidP="00567484">
      <w:pPr>
        <w:spacing w:after="0" w:line="240" w:lineRule="auto"/>
      </w:pPr>
      <w:r>
        <w:separator/>
      </w:r>
    </w:p>
  </w:footnote>
  <w:footnote w:type="continuationSeparator" w:id="0">
    <w:p w:rsidR="00513EF0" w:rsidRDefault="00513EF0" w:rsidP="0056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1CA"/>
    <w:multiLevelType w:val="hybridMultilevel"/>
    <w:tmpl w:val="47784214"/>
    <w:lvl w:ilvl="0" w:tplc="75DACE84">
      <w:start w:val="1"/>
      <w:numFmt w:val="lowerLetter"/>
      <w:lvlText w:val="%1)"/>
      <w:lvlJc w:val="left"/>
      <w:pPr>
        <w:ind w:left="1428" w:hanging="360"/>
      </w:pPr>
      <w:rPr>
        <w:rFonts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3B6C93"/>
    <w:multiLevelType w:val="hybridMultilevel"/>
    <w:tmpl w:val="0E0C5D84"/>
    <w:lvl w:ilvl="0" w:tplc="CBA638D0">
      <w:start w:val="1"/>
      <w:numFmt w:val="decimal"/>
      <w:lvlText w:val="%1."/>
      <w:lvlJc w:val="left"/>
      <w:pPr>
        <w:ind w:left="1068" w:hanging="360"/>
      </w:pPr>
      <w:rPr>
        <w:rFonts w:ascii="gobCL" w:hAnsi="gobC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12432A"/>
    <w:multiLevelType w:val="hybridMultilevel"/>
    <w:tmpl w:val="EB70B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0C6"/>
    <w:multiLevelType w:val="hybridMultilevel"/>
    <w:tmpl w:val="BDB8B734"/>
    <w:lvl w:ilvl="0" w:tplc="D2521BD2">
      <w:start w:val="2"/>
      <w:numFmt w:val="lowerRoman"/>
      <w:lvlText w:val="%1)"/>
      <w:lvlJc w:val="left"/>
      <w:pPr>
        <w:ind w:left="1788" w:hanging="720"/>
      </w:pPr>
      <w:rPr>
        <w:rFonts w:cs="Times New Roman"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8F7553"/>
    <w:multiLevelType w:val="hybridMultilevel"/>
    <w:tmpl w:val="4BF6AB4E"/>
    <w:lvl w:ilvl="0" w:tplc="220A5B3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A064C"/>
    <w:multiLevelType w:val="hybridMultilevel"/>
    <w:tmpl w:val="51CC630C"/>
    <w:lvl w:ilvl="0" w:tplc="6F26808E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4D51BA"/>
    <w:multiLevelType w:val="hybridMultilevel"/>
    <w:tmpl w:val="62D4F718"/>
    <w:lvl w:ilvl="0" w:tplc="2AFA40C6">
      <w:start w:val="1"/>
      <w:numFmt w:val="upperLetter"/>
      <w:lvlText w:val="%1)"/>
      <w:lvlJc w:val="left"/>
      <w:pPr>
        <w:ind w:left="1428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6062021"/>
    <w:multiLevelType w:val="hybridMultilevel"/>
    <w:tmpl w:val="B7EAFA9E"/>
    <w:lvl w:ilvl="0" w:tplc="3262609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35CE"/>
    <w:multiLevelType w:val="hybridMultilevel"/>
    <w:tmpl w:val="CF768D3A"/>
    <w:lvl w:ilvl="0" w:tplc="5CFA7B36">
      <w:start w:val="1"/>
      <w:numFmt w:val="lowerRoman"/>
      <w:lvlText w:val="%1)"/>
      <w:lvlJc w:val="left"/>
      <w:pPr>
        <w:ind w:left="1428" w:hanging="360"/>
      </w:pPr>
      <w:rPr>
        <w:rFonts w:ascii="gobCL" w:eastAsiaTheme="minorHAnsi" w:hAnsi="gobCL" w:cs="Times New Roman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7"/>
    <w:rsid w:val="0000309F"/>
    <w:rsid w:val="00065749"/>
    <w:rsid w:val="000673EA"/>
    <w:rsid w:val="00147A40"/>
    <w:rsid w:val="002660C7"/>
    <w:rsid w:val="00393758"/>
    <w:rsid w:val="003A394C"/>
    <w:rsid w:val="00407A8E"/>
    <w:rsid w:val="004771D7"/>
    <w:rsid w:val="004E6AE4"/>
    <w:rsid w:val="00513EF0"/>
    <w:rsid w:val="0053584B"/>
    <w:rsid w:val="00567484"/>
    <w:rsid w:val="006905E2"/>
    <w:rsid w:val="00841810"/>
    <w:rsid w:val="0086567F"/>
    <w:rsid w:val="00905D52"/>
    <w:rsid w:val="00AC62B1"/>
    <w:rsid w:val="00B50B51"/>
    <w:rsid w:val="00C25351"/>
    <w:rsid w:val="00CB1D02"/>
    <w:rsid w:val="00D2407A"/>
    <w:rsid w:val="00D614C6"/>
    <w:rsid w:val="00DD7EC8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2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84"/>
  </w:style>
  <w:style w:type="paragraph" w:styleId="Piedepgina">
    <w:name w:val="footer"/>
    <w:basedOn w:val="Normal"/>
    <w:link w:val="Piedepgina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2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484"/>
  </w:style>
  <w:style w:type="paragraph" w:styleId="Piedepgina">
    <w:name w:val="footer"/>
    <w:basedOn w:val="Normal"/>
    <w:link w:val="PiedepginaCar"/>
    <w:uiPriority w:val="99"/>
    <w:unhideWhenUsed/>
    <w:rsid w:val="00567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10</cp:revision>
  <dcterms:created xsi:type="dcterms:W3CDTF">2020-03-11T13:37:00Z</dcterms:created>
  <dcterms:modified xsi:type="dcterms:W3CDTF">2020-03-12T12:42:00Z</dcterms:modified>
</cp:coreProperties>
</file>